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24994" w:rsidRDefault="00000000">
      <w:pPr>
        <w:rPr>
          <w:b/>
          <w:bCs/>
          <w:sz w:val="32"/>
          <w:szCs w:val="32"/>
        </w:rPr>
      </w:pPr>
      <w:r>
        <w:rPr>
          <w:b/>
          <w:bCs/>
          <w:sz w:val="32"/>
          <w:szCs w:val="32"/>
        </w:rPr>
        <w:t>Schwereloses Baden</w:t>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124994">
        <w:tc>
          <w:tcPr>
            <w:tcW w:w="3800" w:type="pct"/>
            <w:gridSpan w:val="2"/>
            <w:tcBorders>
              <w:top w:val="nil"/>
              <w:left w:val="nil"/>
              <w:bottom w:val="nil"/>
              <w:right w:val="nil"/>
            </w:tcBorders>
            <w:shd w:val="clear" w:color="auto" w:fill="auto"/>
            <w:tcMar>
              <w:top w:w="0" w:type="dxa"/>
              <w:left w:w="0" w:type="dxa"/>
              <w:bottom w:w="0" w:type="dxa"/>
              <w:right w:w="227" w:type="dxa"/>
            </w:tcMar>
          </w:tcPr>
          <w:p w:rsidR="00124994" w:rsidRDefault="00000000">
            <w:r>
              <w:rPr>
                <w:rFonts w:eastAsia="Arial"/>
              </w:rPr>
              <w:t xml:space="preserve">Die Floating Badewannen von TOTO auf Basis hochwertiger Technologien versprechen ergonomisch die perfekte </w:t>
            </w:r>
            <w:proofErr w:type="spellStart"/>
            <w:r>
              <w:rPr>
                <w:rFonts w:eastAsia="Arial"/>
              </w:rPr>
              <w:t>Relaxposition</w:t>
            </w:r>
            <w:proofErr w:type="spellEnd"/>
            <w:r>
              <w:rPr>
                <w:rFonts w:eastAsia="Arial"/>
              </w:rPr>
              <w:t xml:space="preserve"> und maximale Entspannung.</w:t>
            </w:r>
          </w:p>
        </w:tc>
        <w:tc>
          <w:tcPr>
            <w:tcW w:w="1200" w:type="pct"/>
            <w:tcBorders>
              <w:top w:val="nil"/>
              <w:left w:val="nil"/>
              <w:bottom w:val="nil"/>
              <w:right w:val="nil"/>
            </w:tcBorders>
            <w:shd w:val="clear" w:color="auto" w:fill="auto"/>
            <w:tcMar>
              <w:top w:w="0" w:type="dxa"/>
              <w:left w:w="0" w:type="dxa"/>
              <w:bottom w:w="0" w:type="dxa"/>
              <w:right w:w="227" w:type="dxa"/>
            </w:tcMar>
          </w:tcPr>
          <w:p w:rsidR="00124994" w:rsidRDefault="00124994"/>
        </w:tc>
      </w:tr>
      <w:tr w:rsidR="00124994">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124994" w:rsidRDefault="00124994"/>
        </w:tc>
        <w:tc>
          <w:tcPr>
            <w:tcW w:w="2736" w:type="dxa"/>
            <w:tcBorders>
              <w:top w:val="nil"/>
              <w:left w:val="nil"/>
              <w:bottom w:val="nil"/>
              <w:right w:val="nil"/>
            </w:tcBorders>
            <w:shd w:val="clear" w:color="auto" w:fill="auto"/>
            <w:tcMar>
              <w:top w:w="0" w:type="dxa"/>
              <w:left w:w="0" w:type="dxa"/>
              <w:bottom w:w="0" w:type="dxa"/>
              <w:right w:w="227" w:type="dxa"/>
            </w:tcMar>
          </w:tcPr>
          <w:p w:rsidR="00124994" w:rsidRDefault="00124994"/>
        </w:tc>
      </w:tr>
    </w:tbl>
    <w:p w:rsidR="00124994" w:rsidRDefault="00000000">
      <w:pPr>
        <w:rPr>
          <w:sz w:val="8"/>
          <w:szCs w:val="8"/>
        </w:rPr>
      </w:pPr>
      <w:r>
        <w:rPr>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979"/>
      </w:tblGrid>
      <w:tr w:rsidR="00124994">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124994"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124994"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584"/>
        <w:gridCol w:w="2395"/>
      </w:tblGrid>
      <w:tr w:rsidR="00124994">
        <w:tc>
          <w:tcPr>
            <w:tcW w:w="3800" w:type="pct"/>
            <w:tcBorders>
              <w:top w:val="nil"/>
              <w:left w:val="nil"/>
              <w:bottom w:val="nil"/>
              <w:right w:val="nil"/>
            </w:tcBorders>
            <w:shd w:val="clear" w:color="auto" w:fill="auto"/>
            <w:tcMar>
              <w:top w:w="0" w:type="dxa"/>
              <w:left w:w="0" w:type="dxa"/>
              <w:bottom w:w="0" w:type="dxa"/>
              <w:right w:w="227" w:type="dxa"/>
            </w:tcMar>
          </w:tcPr>
          <w:p w:rsidR="00124994" w:rsidRDefault="00000000">
            <w:pPr>
              <w:spacing w:after="240"/>
              <w:rPr>
                <w:sz w:val="20"/>
                <w:szCs w:val="20"/>
              </w:rPr>
            </w:pPr>
            <w:r>
              <w:rPr>
                <w:i/>
                <w:sz w:val="20"/>
                <w:szCs w:val="20"/>
              </w:rPr>
              <w:t xml:space="preserve">Baderituale haben in Japan eine besondere Tradition. Klassische </w:t>
            </w:r>
            <w:proofErr w:type="spellStart"/>
            <w:r>
              <w:rPr>
                <w:i/>
                <w:sz w:val="20"/>
                <w:szCs w:val="20"/>
              </w:rPr>
              <w:t>Sento</w:t>
            </w:r>
            <w:proofErr w:type="spellEnd"/>
            <w:r>
              <w:rPr>
                <w:i/>
                <w:sz w:val="20"/>
                <w:szCs w:val="20"/>
              </w:rPr>
              <w:t xml:space="preserve">-Badehäuser in den Städten oder die heißen Onsen-Quellen in vulkanischen Gebieten dienen mehr als nur der Reinigung des Körpers. Neben funktionalen Aspekten wie der gründlichen Hygiene und Reinheit spielt der positive Effekt auf das Wohlbefinden eine herausragende Rolle. In kaum einer anderen Umgebung lässt es sich so gut zur Ruhe kommen, wie in einem Vollbad. Das Entspannungsbad wirkt dabei nicht nur regenerierend für den Körper, es ist ebenso Balsam für das mentale Befinden. Diese Art der asiatisch-orientierten, achtsamen Wellness für zuhause erfreut sich auch in Deutschland zunehmender Beliebtheit. „Life </w:t>
            </w:r>
            <w:proofErr w:type="spellStart"/>
            <w:r>
              <w:rPr>
                <w:i/>
                <w:sz w:val="20"/>
                <w:szCs w:val="20"/>
              </w:rPr>
              <w:t>Anew</w:t>
            </w:r>
            <w:proofErr w:type="spellEnd"/>
            <w:r>
              <w:rPr>
                <w:i/>
                <w:sz w:val="20"/>
                <w:szCs w:val="20"/>
              </w:rPr>
              <w:t>“ nennt TOTO dieses Lebensgefühl und lässt es in Form von innovativen Badewannen Wirklichkeit werden.</w:t>
            </w:r>
          </w:p>
          <w:p w:rsidR="00124994" w:rsidRDefault="00000000">
            <w:pPr>
              <w:spacing w:after="240"/>
              <w:rPr>
                <w:sz w:val="20"/>
                <w:szCs w:val="20"/>
              </w:rPr>
            </w:pPr>
            <w:r>
              <w:rPr>
                <w:sz w:val="20"/>
                <w:szCs w:val="20"/>
              </w:rPr>
              <w:t xml:space="preserve">Floating Badewannen von TOTO versprechen ergonomisch die perfekte </w:t>
            </w:r>
            <w:proofErr w:type="spellStart"/>
            <w:r>
              <w:rPr>
                <w:sz w:val="20"/>
                <w:szCs w:val="20"/>
              </w:rPr>
              <w:t>Relaxposition</w:t>
            </w:r>
            <w:proofErr w:type="spellEnd"/>
            <w:r>
              <w:rPr>
                <w:sz w:val="20"/>
                <w:szCs w:val="20"/>
              </w:rPr>
              <w:t xml:space="preserve"> und maximale Entspannung. In ihrer luxuriösen Variante ist die Floating Badewanne dank der Zero Dimension Technologie so geformt, dass sie die Körperhaltung eines Astronauten in der Schwerelosigkeit im Weltraum nachempfindet. Für die in diesem Zusammenhang durchgeführte, umfangreiche Grundlagenforschung wurde das Unternehmen mit dem „Society Award“ der </w:t>
            </w:r>
            <w:proofErr w:type="spellStart"/>
            <w:r>
              <w:rPr>
                <w:sz w:val="20"/>
                <w:szCs w:val="20"/>
              </w:rPr>
              <w:t>Japanese</w:t>
            </w:r>
            <w:proofErr w:type="spellEnd"/>
            <w:r>
              <w:rPr>
                <w:sz w:val="20"/>
                <w:szCs w:val="20"/>
              </w:rPr>
              <w:t xml:space="preserve"> Society </w:t>
            </w:r>
            <w:proofErr w:type="spellStart"/>
            <w:r>
              <w:rPr>
                <w:sz w:val="20"/>
                <w:szCs w:val="20"/>
              </w:rPr>
              <w:t>of</w:t>
            </w:r>
            <w:proofErr w:type="spellEnd"/>
            <w:r>
              <w:rPr>
                <w:sz w:val="20"/>
                <w:szCs w:val="20"/>
              </w:rPr>
              <w:t xml:space="preserve"> </w:t>
            </w:r>
            <w:proofErr w:type="spellStart"/>
            <w:r>
              <w:rPr>
                <w:sz w:val="20"/>
                <w:szCs w:val="20"/>
              </w:rPr>
              <w:t>Mechanical</w:t>
            </w:r>
            <w:proofErr w:type="spellEnd"/>
            <w:r>
              <w:rPr>
                <w:sz w:val="20"/>
                <w:szCs w:val="20"/>
              </w:rPr>
              <w:t xml:space="preserve"> Engineers und dem „Essay Award“ der </w:t>
            </w:r>
            <w:proofErr w:type="spellStart"/>
            <w:r>
              <w:rPr>
                <w:sz w:val="20"/>
                <w:szCs w:val="20"/>
              </w:rPr>
              <w:t>Japanese</w:t>
            </w:r>
            <w:proofErr w:type="spellEnd"/>
            <w:r>
              <w:rPr>
                <w:sz w:val="20"/>
                <w:szCs w:val="20"/>
              </w:rPr>
              <w:t xml:space="preserve"> Society </w:t>
            </w:r>
            <w:proofErr w:type="spellStart"/>
            <w:r>
              <w:rPr>
                <w:sz w:val="20"/>
                <w:szCs w:val="20"/>
              </w:rPr>
              <w:t>for</w:t>
            </w:r>
            <w:proofErr w:type="spellEnd"/>
            <w:r>
              <w:rPr>
                <w:sz w:val="20"/>
                <w:szCs w:val="20"/>
              </w:rPr>
              <w:t xml:space="preserve"> Medical and Biological Engineering ausgezeichnet.</w:t>
            </w:r>
          </w:p>
          <w:p w:rsidR="00124994" w:rsidRDefault="00000000">
            <w:pPr>
              <w:spacing w:after="240"/>
              <w:rPr>
                <w:sz w:val="20"/>
                <w:szCs w:val="20"/>
              </w:rPr>
            </w:pPr>
            <w:r>
              <w:rPr>
                <w:b/>
                <w:sz w:val="20"/>
                <w:szCs w:val="20"/>
              </w:rPr>
              <w:t>Massagedüsen – pures Verwöhnprogramm für den gesamten Rücken</w:t>
            </w:r>
          </w:p>
          <w:p w:rsidR="00124994" w:rsidRDefault="00000000">
            <w:pPr>
              <w:spacing w:after="240"/>
              <w:rPr>
                <w:sz w:val="20"/>
                <w:szCs w:val="20"/>
              </w:rPr>
            </w:pPr>
            <w:r>
              <w:rPr>
                <w:sz w:val="20"/>
                <w:szCs w:val="20"/>
              </w:rPr>
              <w:t xml:space="preserve">Spezielle Luftdüsen unter den Beinen unterstützen das Schwebegefühl. Massagedüsen im Lendenwirbelbereich sorgen für eine Massage an der empfindlichsten Stelle des Rückens. Aufgrund besonderer Verwirbelungsdüsen </w:t>
            </w:r>
            <w:r>
              <w:rPr>
                <w:sz w:val="20"/>
                <w:szCs w:val="20"/>
              </w:rPr>
              <w:lastRenderedPageBreak/>
              <w:t>entsteht ein multidimensionaler Wasserwirbel, der auch tiefe Muskelgruppen erreicht und entspannt. Aus dem höhenverstellbaren, ergonomisch geformten Nackenkissen tritt ein kontinuierlicher Wasserschwall aus, der den Nacken- und Schulterbereich wohltuend warmhält. All diese Funktionen sind mühelos und bedarfsgerecht durch ein Kontrollpaneel auf der Wanneninnenseite zu steuern.</w:t>
            </w:r>
          </w:p>
          <w:p w:rsidR="00124994" w:rsidRDefault="00000000">
            <w:pPr>
              <w:spacing w:after="240"/>
              <w:rPr>
                <w:sz w:val="20"/>
                <w:szCs w:val="20"/>
              </w:rPr>
            </w:pPr>
            <w:r>
              <w:rPr>
                <w:b/>
                <w:sz w:val="20"/>
                <w:szCs w:val="20"/>
              </w:rPr>
              <w:t>Eine Luxusvariante und zwei kompaktere Modelle</w:t>
            </w:r>
          </w:p>
          <w:p w:rsidR="00124994" w:rsidRDefault="00000000">
            <w:pPr>
              <w:spacing w:after="240"/>
              <w:rPr>
                <w:sz w:val="20"/>
                <w:szCs w:val="20"/>
              </w:rPr>
            </w:pPr>
            <w:r>
              <w:rPr>
                <w:sz w:val="20"/>
                <w:szCs w:val="20"/>
              </w:rPr>
              <w:t xml:space="preserve">Neben diesem in jeder Hinsicht luxuriösen Modell, das auch von seinen Dimensionen her großzügig ist (B 2200 </w:t>
            </w:r>
            <w:proofErr w:type="gramStart"/>
            <w:r>
              <w:rPr>
                <w:sz w:val="20"/>
                <w:szCs w:val="20"/>
              </w:rPr>
              <w:t>x T</w:t>
            </w:r>
            <w:proofErr w:type="gramEnd"/>
            <w:r>
              <w:rPr>
                <w:sz w:val="20"/>
                <w:szCs w:val="20"/>
              </w:rPr>
              <w:t xml:space="preserve"> 1050 x H 785 mm), bietet TOTO zwei kompaktere Varianten der Floating Badewanne. Wahlweise in gerundeter oder quadratischer Form (B 1700 </w:t>
            </w:r>
            <w:proofErr w:type="gramStart"/>
            <w:r>
              <w:rPr>
                <w:sz w:val="20"/>
                <w:szCs w:val="20"/>
              </w:rPr>
              <w:t>x T</w:t>
            </w:r>
            <w:proofErr w:type="gramEnd"/>
            <w:r>
              <w:rPr>
                <w:sz w:val="20"/>
                <w:szCs w:val="20"/>
              </w:rPr>
              <w:t xml:space="preserve"> 835 x H 580), bieten diese beiden Varianten ein Entspannungserlebnis auf Basis der von TOTO entwickelten </w:t>
            </w:r>
            <w:proofErr w:type="spellStart"/>
            <w:r>
              <w:rPr>
                <w:sz w:val="20"/>
                <w:szCs w:val="20"/>
              </w:rPr>
              <w:t>Recline</w:t>
            </w:r>
            <w:proofErr w:type="spellEnd"/>
            <w:r>
              <w:rPr>
                <w:sz w:val="20"/>
                <w:szCs w:val="20"/>
              </w:rPr>
              <w:t xml:space="preserve"> Komfort Technologie: Das Innere der Badewanne ist derart geformt, dass während des Badens eine optimale Entspannungsposition eingenommen werden kann. Schultern und Kopf liegen in entspannter Haltung, und auf der ergonomisch geformten Kopfstütze ruht der Kopf und wird gefühlt „leicht“. Vom Nacken bis zu den Lendenwirbeln bleibt die natürliche S-Kurve der Wirbelsäule erhalten und führt zur Tiefenentspannung.</w:t>
            </w:r>
            <w:r>
              <w:rPr>
                <w:sz w:val="20"/>
                <w:szCs w:val="20"/>
              </w:rPr>
              <w:br/>
            </w:r>
            <w:r>
              <w:rPr>
                <w:sz w:val="20"/>
                <w:szCs w:val="20"/>
              </w:rPr>
              <w:br/>
            </w:r>
          </w:p>
          <w:p w:rsidR="00124994" w:rsidRDefault="00000000">
            <w:pPr>
              <w:rPr>
                <w:sz w:val="20"/>
                <w:szCs w:val="20"/>
              </w:rPr>
            </w:pPr>
            <w:r>
              <w:rPr>
                <w:sz w:val="20"/>
                <w:szCs w:val="20"/>
              </w:rPr>
              <w:t>Düsseldorf, im Juni 2024</w:t>
            </w:r>
            <w:r>
              <w:rPr>
                <w:sz w:val="20"/>
                <w:szCs w:val="20"/>
              </w:rPr>
              <w:br/>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rsidR="00124994" w:rsidRDefault="00000000">
            <w:pPr>
              <w:spacing w:after="240"/>
              <w:rPr>
                <w:sz w:val="20"/>
                <w:szCs w:val="20"/>
              </w:rPr>
            </w:pPr>
            <w:r>
              <w:rPr>
                <w:b/>
                <w:sz w:val="20"/>
                <w:szCs w:val="20"/>
              </w:rPr>
              <w:lastRenderedPageBreak/>
              <w:t>Ansprechpartner für Journalisten:</w:t>
            </w:r>
            <w:r>
              <w:rPr>
                <w:b/>
                <w:sz w:val="20"/>
                <w:szCs w:val="20"/>
              </w:rPr>
              <w:br/>
            </w:r>
            <w:r>
              <w:rPr>
                <w:sz w:val="20"/>
                <w:szCs w:val="20"/>
              </w:rPr>
              <w:t>bering*</w:t>
            </w:r>
            <w:proofErr w:type="spellStart"/>
            <w:r>
              <w:rPr>
                <w:sz w:val="20"/>
                <w:szCs w:val="20"/>
              </w:rPr>
              <w:t>kopal</w:t>
            </w:r>
            <w:proofErr w:type="spellEnd"/>
            <w:r>
              <w:rPr>
                <w:sz w:val="20"/>
                <w:szCs w:val="20"/>
              </w:rPr>
              <w:t xml:space="preserve"> GbR, Büro für Kommunikation</w:t>
            </w:r>
            <w:r>
              <w:rPr>
                <w:sz w:val="20"/>
                <w:szCs w:val="20"/>
              </w:rPr>
              <w:br/>
              <w:t>Heike Bering</w:t>
            </w:r>
            <w:r>
              <w:rPr>
                <w:sz w:val="20"/>
                <w:szCs w:val="20"/>
              </w:rPr>
              <w:br/>
              <w:t>Tel. +49 (0)711 7451 759 15</w:t>
            </w:r>
          </w:p>
          <w:p w:rsidR="00124994" w:rsidRDefault="00000000">
            <w:pPr>
              <w:spacing w:after="240"/>
              <w:rPr>
                <w:sz w:val="20"/>
                <w:szCs w:val="20"/>
              </w:rPr>
            </w:pPr>
            <w:proofErr w:type="spellStart"/>
            <w:proofErr w:type="gramStart"/>
            <w:r>
              <w:rPr>
                <w:sz w:val="20"/>
                <w:szCs w:val="20"/>
              </w:rPr>
              <w:t>heike.bering</w:t>
            </w:r>
            <w:proofErr w:type="spellEnd"/>
            <w:proofErr w:type="gramEnd"/>
            <w:r>
              <w:rPr>
                <w:sz w:val="20"/>
                <w:szCs w:val="20"/>
              </w:rPr>
              <w:t>@</w:t>
            </w:r>
            <w:r>
              <w:rPr>
                <w:sz w:val="20"/>
                <w:szCs w:val="20"/>
              </w:rPr>
              <w:br/>
              <w:t>bering-kopal.de</w:t>
            </w:r>
          </w:p>
          <w:p w:rsidR="00124994" w:rsidRDefault="00000000">
            <w:pPr>
              <w:spacing w:after="240"/>
              <w:rPr>
                <w:sz w:val="20"/>
                <w:szCs w:val="20"/>
              </w:rPr>
            </w:pPr>
            <w:r>
              <w:rPr>
                <w:b/>
                <w:sz w:val="20"/>
                <w:szCs w:val="20"/>
              </w:rPr>
              <w:t>Ansprechpartnerin im Unternehmen:</w:t>
            </w:r>
            <w:r>
              <w:rPr>
                <w:b/>
                <w:sz w:val="20"/>
                <w:szCs w:val="20"/>
              </w:rPr>
              <w:br/>
            </w:r>
            <w:r>
              <w:rPr>
                <w:sz w:val="20"/>
                <w:szCs w:val="20"/>
              </w:rPr>
              <w:t>Anja Giersiepen</w:t>
            </w:r>
            <w:r>
              <w:rPr>
                <w:sz w:val="20"/>
                <w:szCs w:val="20"/>
              </w:rPr>
              <w:br/>
            </w:r>
            <w:proofErr w:type="spellStart"/>
            <w:r>
              <w:rPr>
                <w:sz w:val="20"/>
                <w:szCs w:val="20"/>
              </w:rPr>
              <w:t>anja.giersiepen</w:t>
            </w:r>
            <w:proofErr w:type="spellEnd"/>
            <w:r>
              <w:rPr>
                <w:sz w:val="20"/>
                <w:szCs w:val="20"/>
              </w:rPr>
              <w:t>@</w:t>
            </w:r>
            <w:r>
              <w:rPr>
                <w:sz w:val="20"/>
                <w:szCs w:val="20"/>
              </w:rPr>
              <w:br/>
              <w:t>toto.com</w:t>
            </w:r>
          </w:p>
          <w:p w:rsidR="00124994" w:rsidRDefault="00000000">
            <w:pPr>
              <w:rPr>
                <w:sz w:val="20"/>
                <w:szCs w:val="20"/>
              </w:rPr>
            </w:pPr>
            <w:r>
              <w:rPr>
                <w:sz w:val="20"/>
                <w:szCs w:val="20"/>
              </w:rPr>
              <w:t>TOTO im Internet:</w:t>
            </w:r>
            <w:r>
              <w:rPr>
                <w:sz w:val="20"/>
                <w:szCs w:val="20"/>
              </w:rPr>
              <w:br/>
            </w:r>
            <w:hyperlink r:id="rId7">
              <w:r>
                <w:rPr>
                  <w:rStyle w:val="Hyperlink"/>
                  <w:color w:val="000000"/>
                  <w:sz w:val="20"/>
                  <w:szCs w:val="20"/>
                </w:rPr>
                <w:t>eu.toto.com/de</w:t>
              </w:r>
            </w:hyperlink>
          </w:p>
        </w:tc>
      </w:tr>
    </w:tbl>
    <w:p w:rsidR="00124994" w:rsidRDefault="00000000">
      <w:r>
        <w:br w:type="page"/>
      </w:r>
    </w:p>
    <w:p w:rsidR="00124994" w:rsidRDefault="00000000">
      <w:pPr>
        <w:rPr>
          <w:sz w:val="17"/>
          <w:szCs w:val="17"/>
        </w:rPr>
      </w:pPr>
      <w:r>
        <w:rPr>
          <w:b/>
          <w:sz w:val="17"/>
          <w:szCs w:val="17"/>
        </w:rPr>
        <w:lastRenderedPageBreak/>
        <w:t>1</w:t>
      </w:r>
      <w:r>
        <w:rPr>
          <w:sz w:val="17"/>
          <w:szCs w:val="17"/>
        </w:rPr>
        <w:t xml:space="preserve"> Der Kopf entspannt sich auf der Kopfstütze und wird leicht; der Körper versinkt wie in einer angenehmen Umarmung. Die natürliche S-Kurve der Wirbelsäule bleibt vom Nacken bis zu den Lendenwirbeln erhalten und ermöglicht Tiefenentspannung. Laut TOTO ist das Baden in der Floating Badewanne mit Zero Dimension Technologie „ein entspannendes Badeerlebnis, das alle Erwartungen übertrifft.“ Foto: TOTO</w:t>
      </w:r>
      <w:r>
        <w:rPr>
          <w:sz w:val="17"/>
          <w:szCs w:val="17"/>
        </w:rPr>
        <w:br/>
        <w:t> </w:t>
      </w:r>
      <w:r>
        <w:rPr>
          <w:sz w:val="17"/>
          <w:szCs w:val="17"/>
        </w:rPr>
        <w:br/>
      </w:r>
    </w:p>
    <w:p w:rsidR="00124994" w:rsidRDefault="00000000">
      <w:pPr>
        <w:rPr>
          <w:sz w:val="17"/>
          <w:szCs w:val="17"/>
        </w:rPr>
      </w:pPr>
      <w:r>
        <w:rPr>
          <w:b/>
          <w:sz w:val="17"/>
          <w:szCs w:val="17"/>
        </w:rPr>
        <w:t>2</w:t>
      </w:r>
      <w:r>
        <w:rPr>
          <w:sz w:val="17"/>
          <w:szCs w:val="17"/>
        </w:rPr>
        <w:t xml:space="preserve"> Floating Badewannen von TOTO versprechen ergonomisch die perfekte </w:t>
      </w:r>
      <w:proofErr w:type="spellStart"/>
      <w:r>
        <w:rPr>
          <w:sz w:val="17"/>
          <w:szCs w:val="17"/>
        </w:rPr>
        <w:t>Relaxposition</w:t>
      </w:r>
      <w:proofErr w:type="spellEnd"/>
      <w:r>
        <w:rPr>
          <w:sz w:val="17"/>
          <w:szCs w:val="17"/>
        </w:rPr>
        <w:t xml:space="preserve"> und maximale Entspannung. Die Badewanne besteht aus einem neuartigen, sehr stabilen mehrschichtigen Verbundstoff mit einer dauerhaften und glatten</w:t>
      </w:r>
      <w:r>
        <w:rPr>
          <w:sz w:val="17"/>
          <w:szCs w:val="17"/>
        </w:rPr>
        <w:br/>
        <w:t>Oberflächenveredelung. Foto: TOTO</w:t>
      </w:r>
      <w:r>
        <w:rPr>
          <w:sz w:val="17"/>
          <w:szCs w:val="17"/>
        </w:rPr>
        <w:br/>
      </w:r>
    </w:p>
    <w:p w:rsidR="00124994" w:rsidRDefault="00000000">
      <w:pPr>
        <w:rPr>
          <w:sz w:val="17"/>
          <w:szCs w:val="17"/>
        </w:rPr>
      </w:pPr>
      <w:r>
        <w:rPr>
          <w:b/>
          <w:sz w:val="17"/>
          <w:szCs w:val="17"/>
        </w:rPr>
        <w:t>3</w:t>
      </w:r>
      <w:r>
        <w:rPr>
          <w:sz w:val="17"/>
          <w:szCs w:val="17"/>
        </w:rPr>
        <w:t xml:space="preserve"> Aus dem höhenverstellbaren, ergonomisch geformten Nackenkissen der Floating Badewanne von TOTO tritt ein kontinuierlicher Wasserschwall aus, der den Nacken- und Schulterbereich wohltuend warmhält. Foto: TOTO</w:t>
      </w:r>
      <w:r>
        <w:rPr>
          <w:sz w:val="17"/>
          <w:szCs w:val="17"/>
        </w:rPr>
        <w:br/>
      </w:r>
    </w:p>
    <w:p w:rsidR="00124994" w:rsidRDefault="00000000">
      <w:pPr>
        <w:rPr>
          <w:sz w:val="17"/>
          <w:szCs w:val="17"/>
        </w:rPr>
      </w:pPr>
      <w:r>
        <w:rPr>
          <w:b/>
          <w:sz w:val="17"/>
          <w:szCs w:val="17"/>
        </w:rPr>
        <w:t>4</w:t>
      </w:r>
      <w:r>
        <w:rPr>
          <w:sz w:val="17"/>
          <w:szCs w:val="17"/>
        </w:rPr>
        <w:t xml:space="preserve"> Alle Komfortfunktionen der luxuriösen Floating Badewanne von TOTO sind </w:t>
      </w:r>
      <w:proofErr w:type="spellStart"/>
      <w:r>
        <w:rPr>
          <w:sz w:val="17"/>
          <w:szCs w:val="17"/>
        </w:rPr>
        <w:t>mühelos</w:t>
      </w:r>
      <w:proofErr w:type="spellEnd"/>
      <w:r>
        <w:rPr>
          <w:sz w:val="17"/>
          <w:szCs w:val="17"/>
        </w:rPr>
        <w:t xml:space="preserve"> und bedarfsgerecht durch ein Kontrollpaneel auf der Wanneninnenseite zu steuern. Foto: TOTO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124994">
        <w:tc>
          <w:tcPr>
            <w:tcW w:w="2444" w:type="pct"/>
            <w:tcBorders>
              <w:top w:val="nil"/>
              <w:left w:val="nil"/>
              <w:bottom w:val="nil"/>
              <w:right w:val="nil"/>
            </w:tcBorders>
            <w:shd w:val="clear" w:color="auto" w:fill="auto"/>
            <w:tcMar>
              <w:top w:w="0" w:type="dxa"/>
              <w:left w:w="0" w:type="dxa"/>
              <w:bottom w:w="0" w:type="dxa"/>
              <w:right w:w="0" w:type="dxa"/>
            </w:tcMar>
          </w:tcPr>
          <w:p w:rsidR="00124994" w:rsidRDefault="00000000">
            <w:pPr>
              <w:keepNext/>
              <w:keepLines/>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124994" w:rsidRDefault="00124994">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24994" w:rsidRDefault="00000000">
            <w:pPr>
              <w:keepNext/>
              <w:keepLines/>
              <w:rPr>
                <w:sz w:val="14"/>
                <w:szCs w:val="14"/>
              </w:rPr>
            </w:pPr>
            <w:r>
              <w:rPr>
                <w:sz w:val="14"/>
                <w:szCs w:val="14"/>
              </w:rPr>
              <w:t>2.</w:t>
            </w:r>
          </w:p>
        </w:tc>
      </w:tr>
      <w:tr w:rsidR="00124994">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24994" w:rsidRDefault="00000000">
            <w:pPr>
              <w:keepNext/>
              <w:keepLines/>
              <w:rPr>
                <w:sz w:val="14"/>
                <w:szCs w:val="14"/>
              </w:rPr>
            </w:pPr>
            <w:r>
              <w:rPr>
                <w:noProof/>
                <w:sz w:val="14"/>
                <w:szCs w:val="14"/>
              </w:rPr>
              <w:drawing>
                <wp:inline distT="0" distB="0" distL="0" distR="0">
                  <wp:extent cx="3023235" cy="170053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3023235" cy="170053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24994" w:rsidRDefault="00124994">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24994" w:rsidRDefault="00000000">
            <w:pPr>
              <w:keepNext/>
              <w:keepLines/>
              <w:rPr>
                <w:sz w:val="14"/>
                <w:szCs w:val="14"/>
              </w:rPr>
            </w:pPr>
            <w:r>
              <w:rPr>
                <w:noProof/>
                <w:sz w:val="14"/>
                <w:szCs w:val="14"/>
              </w:rPr>
              <w:drawing>
                <wp:inline distT="0" distB="0" distL="0" distR="0">
                  <wp:extent cx="284670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2846705" cy="2014220"/>
                          </a:xfrm>
                          <a:prstGeom prst="rect">
                            <a:avLst/>
                          </a:prstGeom>
                        </pic:spPr>
                      </pic:pic>
                    </a:graphicData>
                  </a:graphic>
                </wp:inline>
              </w:drawing>
            </w:r>
          </w:p>
        </w:tc>
      </w:tr>
      <w:tr w:rsidR="00124994">
        <w:tc>
          <w:tcPr>
            <w:tcW w:w="2444" w:type="pct"/>
            <w:tcBorders>
              <w:top w:val="nil"/>
              <w:left w:val="nil"/>
              <w:bottom w:val="nil"/>
              <w:right w:val="nil"/>
            </w:tcBorders>
            <w:shd w:val="clear" w:color="auto" w:fill="auto"/>
            <w:tcMar>
              <w:top w:w="0" w:type="dxa"/>
              <w:left w:w="0" w:type="dxa"/>
              <w:bottom w:w="0" w:type="dxa"/>
              <w:right w:w="0" w:type="dxa"/>
            </w:tcMar>
          </w:tcPr>
          <w:p w:rsidR="00124994" w:rsidRDefault="00124994">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124994" w:rsidRDefault="00124994">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24994" w:rsidRDefault="00124994">
            <w:pPr>
              <w:keepNext/>
              <w:keepLines/>
              <w:rPr>
                <w:sz w:val="14"/>
                <w:szCs w:val="14"/>
              </w:rPr>
            </w:pPr>
          </w:p>
        </w:tc>
      </w:tr>
      <w:tr w:rsidR="00124994">
        <w:tc>
          <w:tcPr>
            <w:tcW w:w="2444" w:type="pct"/>
            <w:tcBorders>
              <w:top w:val="nil"/>
              <w:left w:val="nil"/>
              <w:bottom w:val="nil"/>
              <w:right w:val="nil"/>
            </w:tcBorders>
            <w:shd w:val="clear" w:color="auto" w:fill="auto"/>
            <w:tcMar>
              <w:top w:w="0" w:type="dxa"/>
              <w:left w:w="0" w:type="dxa"/>
              <w:bottom w:w="0" w:type="dxa"/>
              <w:right w:w="0" w:type="dxa"/>
            </w:tcMar>
          </w:tcPr>
          <w:p w:rsidR="00124994" w:rsidRDefault="00000000">
            <w:pPr>
              <w:keepNext/>
              <w:keepLines/>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124994" w:rsidRDefault="00124994">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24994" w:rsidRDefault="00000000">
            <w:pPr>
              <w:keepNext/>
              <w:keepLines/>
              <w:rPr>
                <w:sz w:val="14"/>
                <w:szCs w:val="14"/>
              </w:rPr>
            </w:pPr>
            <w:r>
              <w:rPr>
                <w:sz w:val="14"/>
                <w:szCs w:val="14"/>
              </w:rPr>
              <w:t>4.</w:t>
            </w:r>
          </w:p>
        </w:tc>
      </w:tr>
      <w:tr w:rsidR="00124994">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24994" w:rsidRDefault="00000000">
            <w:pPr>
              <w:keepNext/>
              <w:keepLines/>
              <w:rPr>
                <w:sz w:val="14"/>
                <w:szCs w:val="14"/>
              </w:rPr>
            </w:pPr>
            <w:r>
              <w:rPr>
                <w:noProof/>
                <w:sz w:val="14"/>
                <w:szCs w:val="14"/>
              </w:rPr>
              <w:drawing>
                <wp:inline distT="0" distB="0" distL="0" distR="0">
                  <wp:extent cx="3023235" cy="170053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3023235" cy="170053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24994" w:rsidRDefault="00124994">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24994" w:rsidRDefault="00000000">
            <w:pPr>
              <w:keepNext/>
              <w:keepLines/>
              <w:rPr>
                <w:sz w:val="14"/>
                <w:szCs w:val="14"/>
              </w:rPr>
            </w:pPr>
            <w:r>
              <w:rPr>
                <w:noProof/>
                <w:sz w:val="14"/>
                <w:szCs w:val="14"/>
              </w:rPr>
              <w:drawing>
                <wp:inline distT="0" distB="0" distL="0" distR="0">
                  <wp:extent cx="3023235" cy="170053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3023235" cy="1700530"/>
                          </a:xfrm>
                          <a:prstGeom prst="rect">
                            <a:avLst/>
                          </a:prstGeom>
                        </pic:spPr>
                      </pic:pic>
                    </a:graphicData>
                  </a:graphic>
                </wp:inline>
              </w:drawing>
            </w:r>
          </w:p>
        </w:tc>
      </w:tr>
    </w:tbl>
    <w:p w:rsidR="00124994" w:rsidRDefault="00000000">
      <w:r>
        <w:br w:type="page"/>
      </w:r>
    </w:p>
    <w:p w:rsidR="00124994" w:rsidRDefault="00000000">
      <w:pPr>
        <w:rPr>
          <w:sz w:val="17"/>
          <w:szCs w:val="17"/>
        </w:rPr>
      </w:pPr>
      <w:r>
        <w:rPr>
          <w:b/>
          <w:sz w:val="17"/>
          <w:szCs w:val="17"/>
        </w:rPr>
        <w:lastRenderedPageBreak/>
        <w:t>5</w:t>
      </w:r>
      <w:r>
        <w:rPr>
          <w:sz w:val="17"/>
          <w:szCs w:val="17"/>
        </w:rPr>
        <w:t xml:space="preserve"> TOTO hat </w:t>
      </w:r>
      <w:proofErr w:type="spellStart"/>
      <w:r>
        <w:rPr>
          <w:sz w:val="17"/>
          <w:szCs w:val="17"/>
        </w:rPr>
        <w:t>für</w:t>
      </w:r>
      <w:proofErr w:type="spellEnd"/>
      <w:r>
        <w:rPr>
          <w:sz w:val="17"/>
          <w:szCs w:val="17"/>
        </w:rPr>
        <w:t xml:space="preserve"> die Entwicklung der neuen Floating Badewanne mit Zero Dimension Technologie eine umfangreiche Grundlagenforschung </w:t>
      </w:r>
      <w:proofErr w:type="spellStart"/>
      <w:r>
        <w:rPr>
          <w:sz w:val="17"/>
          <w:szCs w:val="17"/>
        </w:rPr>
        <w:t>durchgeführt</w:t>
      </w:r>
      <w:proofErr w:type="spellEnd"/>
      <w:r>
        <w:rPr>
          <w:sz w:val="17"/>
          <w:szCs w:val="17"/>
        </w:rPr>
        <w:t xml:space="preserve"> und ist </w:t>
      </w:r>
      <w:proofErr w:type="spellStart"/>
      <w:r>
        <w:rPr>
          <w:sz w:val="17"/>
          <w:szCs w:val="17"/>
        </w:rPr>
        <w:t>dafür</w:t>
      </w:r>
      <w:proofErr w:type="spellEnd"/>
      <w:r>
        <w:rPr>
          <w:sz w:val="17"/>
          <w:szCs w:val="17"/>
        </w:rPr>
        <w:t xml:space="preserve"> mit zahlreichen Preisen bedacht worden. Die Haltung des Badenden entspricht der Haltung eines Astronauten in der Schwerelosigkeit. Abbildung: TOTO</w:t>
      </w:r>
      <w:r>
        <w:rPr>
          <w:sz w:val="17"/>
          <w:szCs w:val="17"/>
        </w:rPr>
        <w:br/>
      </w:r>
    </w:p>
    <w:p w:rsidR="00655F39" w:rsidRDefault="00000000">
      <w:pPr>
        <w:rPr>
          <w:sz w:val="17"/>
          <w:szCs w:val="17"/>
        </w:rPr>
      </w:pPr>
      <w:r>
        <w:rPr>
          <w:b/>
          <w:sz w:val="17"/>
          <w:szCs w:val="17"/>
        </w:rPr>
        <w:t>6</w:t>
      </w:r>
      <w:r>
        <w:rPr>
          <w:sz w:val="17"/>
          <w:szCs w:val="17"/>
        </w:rPr>
        <w:t xml:space="preserve"> Kompakte Version der Floating-Badewanne von TOTO. Wahlweise in gerundeter oder quadratischer Form, bietet diese Variante ein Entspannungserlebnis auf Basis der von TOTO entwickelten </w:t>
      </w:r>
      <w:proofErr w:type="spellStart"/>
      <w:r>
        <w:rPr>
          <w:sz w:val="17"/>
          <w:szCs w:val="17"/>
        </w:rPr>
        <w:t>Recline</w:t>
      </w:r>
      <w:proofErr w:type="spellEnd"/>
      <w:r>
        <w:rPr>
          <w:sz w:val="17"/>
          <w:szCs w:val="17"/>
        </w:rPr>
        <w:t xml:space="preserve"> Komfort Technologie. Foto: TOTO</w:t>
      </w:r>
      <w:r>
        <w:rPr>
          <w:sz w:val="17"/>
          <w:szCs w:val="17"/>
        </w:rPr>
        <w:br/>
      </w:r>
      <w:r>
        <w:rPr>
          <w:sz w:val="17"/>
          <w:szCs w:val="17"/>
        </w:rPr>
        <w:br/>
      </w:r>
      <w:r>
        <w:rPr>
          <w:b/>
          <w:sz w:val="17"/>
          <w:szCs w:val="17"/>
        </w:rPr>
        <w:t>7</w:t>
      </w:r>
      <w:r w:rsidR="008C7DE3">
        <w:rPr>
          <w:b/>
          <w:sz w:val="17"/>
          <w:szCs w:val="17"/>
        </w:rPr>
        <w:t xml:space="preserve"> + 8</w:t>
      </w:r>
      <w:r>
        <w:rPr>
          <w:sz w:val="17"/>
          <w:szCs w:val="17"/>
        </w:rPr>
        <w:t xml:space="preserve"> Zum Vergleich: In einer konventionellen Badewanne fällt es meist schwer, eine komfortable Position einzunehmen, die Körper und Geist entspannen lässt. Kopf, Nacken und Schultern stehen unter Spannung. Aufgrund der von TOTO entwickelten </w:t>
      </w:r>
      <w:proofErr w:type="spellStart"/>
      <w:r>
        <w:rPr>
          <w:sz w:val="17"/>
          <w:szCs w:val="17"/>
        </w:rPr>
        <w:t>Recline</w:t>
      </w:r>
      <w:proofErr w:type="spellEnd"/>
      <w:r>
        <w:rPr>
          <w:sz w:val="17"/>
          <w:szCs w:val="17"/>
        </w:rPr>
        <w:t xml:space="preserve"> Komfort Technologie ist das Innere der Badewanne derart geformt, dass Badende eine optimale Entspannungsposition einnehmen können. Schultern und Kopf liegen in entspannter Haltung. So wird das Baden in den Floating Badewannen zu einem absoluten Entspannungserlebnis. Abbildung</w:t>
      </w:r>
      <w:r w:rsidR="008C7DE3">
        <w:rPr>
          <w:sz w:val="17"/>
          <w:szCs w:val="17"/>
        </w:rPr>
        <w:t>en</w:t>
      </w:r>
      <w:r>
        <w:rPr>
          <w:sz w:val="17"/>
          <w:szCs w:val="17"/>
        </w:rPr>
        <w:t>: TOTO</w:t>
      </w:r>
      <w:r>
        <w:rPr>
          <w:sz w:val="17"/>
          <w:szCs w:val="17"/>
        </w:rPr>
        <w:br/>
      </w:r>
      <w:r>
        <w:rPr>
          <w:sz w:val="17"/>
          <w:szCs w:val="17"/>
        </w:rPr>
        <w:br/>
      </w:r>
      <w:r>
        <w:rPr>
          <w:sz w:val="17"/>
          <w:szCs w:val="17"/>
        </w:rPr>
        <w:br/>
      </w:r>
    </w:p>
    <w:p w:rsidR="00124994" w:rsidRDefault="00000000">
      <w:pPr>
        <w:rPr>
          <w:sz w:val="17"/>
          <w:szCs w:val="17"/>
        </w:rPr>
      </w:pP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124994">
        <w:tc>
          <w:tcPr>
            <w:tcW w:w="2444" w:type="pct"/>
            <w:tcBorders>
              <w:top w:val="nil"/>
              <w:left w:val="nil"/>
              <w:bottom w:val="nil"/>
              <w:right w:val="nil"/>
            </w:tcBorders>
            <w:shd w:val="clear" w:color="auto" w:fill="auto"/>
            <w:tcMar>
              <w:top w:w="0" w:type="dxa"/>
              <w:left w:w="0" w:type="dxa"/>
              <w:bottom w:w="0" w:type="dxa"/>
              <w:right w:w="0" w:type="dxa"/>
            </w:tcMar>
          </w:tcPr>
          <w:p w:rsidR="00124994" w:rsidRDefault="00000000">
            <w:pPr>
              <w:keepNext/>
              <w:keepLines/>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124994" w:rsidRDefault="00124994">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24994" w:rsidRDefault="00000000">
            <w:pPr>
              <w:keepNext/>
              <w:keepLines/>
              <w:rPr>
                <w:sz w:val="14"/>
                <w:szCs w:val="14"/>
              </w:rPr>
            </w:pPr>
            <w:r>
              <w:rPr>
                <w:sz w:val="14"/>
                <w:szCs w:val="14"/>
              </w:rPr>
              <w:t>6.</w:t>
            </w:r>
          </w:p>
        </w:tc>
      </w:tr>
      <w:tr w:rsidR="00124994">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24994" w:rsidRDefault="00000000">
            <w:pPr>
              <w:keepNext/>
              <w:keepLines/>
              <w:rPr>
                <w:sz w:val="14"/>
                <w:szCs w:val="14"/>
              </w:rPr>
            </w:pPr>
            <w:r>
              <w:rPr>
                <w:noProof/>
                <w:sz w:val="14"/>
                <w:szCs w:val="14"/>
              </w:rPr>
              <w:drawing>
                <wp:inline distT="0" distB="0" distL="0" distR="0">
                  <wp:extent cx="302323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24994" w:rsidRDefault="00124994">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24994" w:rsidRDefault="00000000">
            <w:pPr>
              <w:keepNext/>
              <w:keepLines/>
              <w:rPr>
                <w:sz w:val="14"/>
                <w:szCs w:val="14"/>
              </w:rPr>
            </w:pPr>
            <w:r>
              <w:rPr>
                <w:noProof/>
                <w:sz w:val="14"/>
                <w:szCs w:val="14"/>
              </w:rPr>
              <w:drawing>
                <wp:inline distT="0" distB="0" distL="0" distR="0">
                  <wp:extent cx="284988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2849880" cy="2014220"/>
                          </a:xfrm>
                          <a:prstGeom prst="rect">
                            <a:avLst/>
                          </a:prstGeom>
                        </pic:spPr>
                      </pic:pic>
                    </a:graphicData>
                  </a:graphic>
                </wp:inline>
              </w:drawing>
            </w:r>
          </w:p>
        </w:tc>
      </w:tr>
      <w:tr w:rsidR="00124994">
        <w:tc>
          <w:tcPr>
            <w:tcW w:w="2444" w:type="pct"/>
            <w:tcBorders>
              <w:top w:val="nil"/>
              <w:left w:val="nil"/>
              <w:bottom w:val="nil"/>
              <w:right w:val="nil"/>
            </w:tcBorders>
            <w:shd w:val="clear" w:color="auto" w:fill="auto"/>
            <w:tcMar>
              <w:top w:w="0" w:type="dxa"/>
              <w:left w:w="0" w:type="dxa"/>
              <w:bottom w:w="0" w:type="dxa"/>
              <w:right w:w="0" w:type="dxa"/>
            </w:tcMar>
          </w:tcPr>
          <w:p w:rsidR="00124994" w:rsidRDefault="00124994">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124994" w:rsidRDefault="00124994">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24994" w:rsidRDefault="00124994">
            <w:pPr>
              <w:keepNext/>
              <w:keepLines/>
              <w:rPr>
                <w:sz w:val="14"/>
                <w:szCs w:val="14"/>
              </w:rPr>
            </w:pPr>
          </w:p>
        </w:tc>
      </w:tr>
      <w:tr w:rsidR="00124994">
        <w:tc>
          <w:tcPr>
            <w:tcW w:w="2444" w:type="pct"/>
            <w:tcBorders>
              <w:top w:val="nil"/>
              <w:left w:val="nil"/>
              <w:bottom w:val="nil"/>
              <w:right w:val="nil"/>
            </w:tcBorders>
            <w:shd w:val="clear" w:color="auto" w:fill="auto"/>
            <w:tcMar>
              <w:top w:w="0" w:type="dxa"/>
              <w:left w:w="0" w:type="dxa"/>
              <w:bottom w:w="0" w:type="dxa"/>
              <w:right w:w="0" w:type="dxa"/>
            </w:tcMar>
          </w:tcPr>
          <w:p w:rsidR="00124994" w:rsidRDefault="00000000">
            <w:pPr>
              <w:keepNext/>
              <w:keepLines/>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124994" w:rsidRDefault="00124994">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24994" w:rsidRDefault="00000000">
            <w:pPr>
              <w:keepNext/>
              <w:keepLines/>
              <w:rPr>
                <w:sz w:val="14"/>
                <w:szCs w:val="14"/>
              </w:rPr>
            </w:pPr>
            <w:r>
              <w:rPr>
                <w:sz w:val="14"/>
                <w:szCs w:val="14"/>
              </w:rPr>
              <w:t>8.</w:t>
            </w:r>
          </w:p>
        </w:tc>
      </w:tr>
      <w:tr w:rsidR="00124994">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24994" w:rsidRDefault="00000000">
            <w:pPr>
              <w:keepNext/>
              <w:keepLines/>
              <w:rPr>
                <w:sz w:val="14"/>
                <w:szCs w:val="14"/>
              </w:rPr>
            </w:pPr>
            <w:r>
              <w:rPr>
                <w:noProof/>
                <w:sz w:val="14"/>
                <w:szCs w:val="14"/>
              </w:rPr>
              <w:drawing>
                <wp:inline distT="0" distB="0" distL="0" distR="0">
                  <wp:extent cx="302006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24994" w:rsidRDefault="00124994">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24994" w:rsidRDefault="00000000">
            <w:pPr>
              <w:keepNext/>
              <w:keepLines/>
              <w:rPr>
                <w:sz w:val="14"/>
                <w:szCs w:val="14"/>
              </w:rPr>
            </w:pPr>
            <w:r>
              <w:rPr>
                <w:noProof/>
                <w:sz w:val="14"/>
                <w:szCs w:val="14"/>
              </w:rPr>
              <w:drawing>
                <wp:inline distT="0" distB="0" distL="0" distR="0">
                  <wp:extent cx="302006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5"/>
                          <a:srcRect/>
                          <a:stretch>
                            <a:fillRect/>
                          </a:stretch>
                        </pic:blipFill>
                        <pic:spPr>
                          <a:xfrm>
                            <a:off x="0" y="0"/>
                            <a:ext cx="3020060" cy="2014220"/>
                          </a:xfrm>
                          <a:prstGeom prst="rect">
                            <a:avLst/>
                          </a:prstGeom>
                        </pic:spPr>
                      </pic:pic>
                    </a:graphicData>
                  </a:graphic>
                </wp:inline>
              </w:drawing>
            </w:r>
          </w:p>
        </w:tc>
      </w:tr>
    </w:tbl>
    <w:p w:rsidR="00124994" w:rsidRDefault="00000000">
      <w:r>
        <w:br w:type="page"/>
      </w:r>
    </w:p>
    <w:p w:rsidR="00124994" w:rsidRDefault="00000000">
      <w:pPr>
        <w:rPr>
          <w:sz w:val="17"/>
          <w:szCs w:val="17"/>
        </w:rPr>
      </w:pPr>
      <w:r>
        <w:rPr>
          <w:b/>
          <w:sz w:val="17"/>
          <w:szCs w:val="17"/>
        </w:rPr>
        <w:lastRenderedPageBreak/>
        <w:t>9</w:t>
      </w:r>
      <w:r>
        <w:rPr>
          <w:sz w:val="17"/>
          <w:szCs w:val="17"/>
        </w:rPr>
        <w:t xml:space="preserve"> Einblick in die Entwicklungsabteilung bei TOTO. Alle Produkte des japanischen Sanitärunternehmens entstehen inhouse. Um Innovationen zu gestalten, legt TOTO besonderen Wert auf die Zusammenarbeit zwischen seinen internen Design- und Ingenieurteams. Es ist wichtig, dass Design- und Engineering-Experten in ständigem Austausch stehen und beispielsweise </w:t>
      </w:r>
      <w:proofErr w:type="spellStart"/>
      <w:r>
        <w:rPr>
          <w:sz w:val="17"/>
          <w:szCs w:val="17"/>
        </w:rPr>
        <w:t>darüber</w:t>
      </w:r>
      <w:proofErr w:type="spellEnd"/>
      <w:r>
        <w:rPr>
          <w:sz w:val="17"/>
          <w:szCs w:val="17"/>
        </w:rPr>
        <w:t xml:space="preserve"> diskutieren, wie die Nutzenden in Zukunft leben werden. Foto: TOTO</w:t>
      </w:r>
      <w:r>
        <w:rPr>
          <w:sz w:val="17"/>
          <w:szCs w:val="17"/>
        </w:rPr>
        <w:br/>
      </w:r>
    </w:p>
    <w:p w:rsidR="00124994" w:rsidRDefault="00000000">
      <w:pPr>
        <w:rPr>
          <w:sz w:val="17"/>
          <w:szCs w:val="17"/>
        </w:rPr>
      </w:pPr>
      <w:r>
        <w:rPr>
          <w:b/>
          <w:sz w:val="17"/>
          <w:szCs w:val="17"/>
        </w:rPr>
        <w:t>10</w:t>
      </w:r>
      <w:r>
        <w:rPr>
          <w:sz w:val="17"/>
          <w:szCs w:val="17"/>
        </w:rPr>
        <w:t xml:space="preserve"> Platz </w:t>
      </w:r>
      <w:proofErr w:type="spellStart"/>
      <w:r>
        <w:rPr>
          <w:sz w:val="17"/>
          <w:szCs w:val="17"/>
        </w:rPr>
        <w:t>für</w:t>
      </w:r>
      <w:proofErr w:type="spellEnd"/>
      <w:r>
        <w:rPr>
          <w:sz w:val="17"/>
          <w:szCs w:val="17"/>
        </w:rPr>
        <w:t xml:space="preserve"> Zwei: Das Innere der Floating Badewanne mit </w:t>
      </w:r>
      <w:proofErr w:type="spellStart"/>
      <w:r>
        <w:rPr>
          <w:sz w:val="17"/>
          <w:szCs w:val="17"/>
        </w:rPr>
        <w:t>Recline</w:t>
      </w:r>
      <w:proofErr w:type="spellEnd"/>
      <w:r>
        <w:rPr>
          <w:sz w:val="17"/>
          <w:szCs w:val="17"/>
        </w:rPr>
        <w:t xml:space="preserve"> Komfort Technologie ist so geformt, dass auch ein Kind ausreichend Platz findet. Die Erhöhung am Fußende fungiert hier als Sitzfläche. Abbildung: TOTO</w:t>
      </w:r>
      <w:r>
        <w:rPr>
          <w:sz w:val="17"/>
          <w:szCs w:val="17"/>
        </w:rPr>
        <w:br/>
      </w:r>
    </w:p>
    <w:p w:rsidR="00124994" w:rsidRDefault="00000000">
      <w:pPr>
        <w:rPr>
          <w:sz w:val="17"/>
          <w:szCs w:val="17"/>
        </w:rPr>
      </w:pPr>
      <w:r>
        <w:rPr>
          <w:b/>
          <w:sz w:val="17"/>
          <w:szCs w:val="17"/>
        </w:rPr>
        <w:t>11</w:t>
      </w:r>
      <w:r>
        <w:rPr>
          <w:sz w:val="17"/>
          <w:szCs w:val="17"/>
        </w:rPr>
        <w:t xml:space="preserve"> Bequem mit </w:t>
      </w:r>
      <w:proofErr w:type="spellStart"/>
      <w:r>
        <w:rPr>
          <w:sz w:val="17"/>
          <w:szCs w:val="17"/>
        </w:rPr>
        <w:t>Fußstütze</w:t>
      </w:r>
      <w:proofErr w:type="spellEnd"/>
      <w:r>
        <w:rPr>
          <w:sz w:val="17"/>
          <w:szCs w:val="17"/>
        </w:rPr>
        <w:t xml:space="preserve">: Die Floating Badewanne mit </w:t>
      </w:r>
      <w:proofErr w:type="spellStart"/>
      <w:r>
        <w:rPr>
          <w:sz w:val="17"/>
          <w:szCs w:val="17"/>
        </w:rPr>
        <w:t>Recline</w:t>
      </w:r>
      <w:proofErr w:type="spellEnd"/>
      <w:r>
        <w:rPr>
          <w:sz w:val="17"/>
          <w:szCs w:val="17"/>
        </w:rPr>
        <w:t xml:space="preserve"> Komfort Technologie erlaubt es, umfänglich zu entspannen und bietet eine </w:t>
      </w:r>
      <w:proofErr w:type="spellStart"/>
      <w:r>
        <w:rPr>
          <w:sz w:val="17"/>
          <w:szCs w:val="17"/>
        </w:rPr>
        <w:t>Fußstütze</w:t>
      </w:r>
      <w:proofErr w:type="spellEnd"/>
      <w:r>
        <w:rPr>
          <w:sz w:val="17"/>
          <w:szCs w:val="17"/>
        </w:rPr>
        <w:t>, um nicht auszurutschen. Es ist auch möglich, dass eine weitere Person auf der Erhöhung Platz nimmt. Abbildung: TOTO</w:t>
      </w:r>
      <w:r>
        <w:rPr>
          <w:sz w:val="17"/>
          <w:szCs w:val="17"/>
        </w:rPr>
        <w:br/>
      </w:r>
    </w:p>
    <w:p w:rsidR="00124994" w:rsidRDefault="00000000">
      <w:pPr>
        <w:rPr>
          <w:sz w:val="17"/>
          <w:szCs w:val="17"/>
        </w:rPr>
      </w:pPr>
      <w:r>
        <w:rPr>
          <w:b/>
          <w:sz w:val="17"/>
          <w:szCs w:val="17"/>
        </w:rPr>
        <w:t>12</w:t>
      </w:r>
      <w:r>
        <w:rPr>
          <w:sz w:val="17"/>
          <w:szCs w:val="17"/>
        </w:rPr>
        <w:t xml:space="preserve"> Badekomfort mit </w:t>
      </w:r>
      <w:proofErr w:type="spellStart"/>
      <w:r>
        <w:rPr>
          <w:sz w:val="17"/>
          <w:szCs w:val="17"/>
        </w:rPr>
        <w:t>Fußstütze</w:t>
      </w:r>
      <w:proofErr w:type="spellEnd"/>
      <w:r>
        <w:rPr>
          <w:sz w:val="17"/>
          <w:szCs w:val="17"/>
        </w:rPr>
        <w:t xml:space="preserve"> mit annähernd ausgestreckten Beinen. TOTO hat intensive ergonomische Studien betrieben, um die Floating Badewanne mit </w:t>
      </w:r>
      <w:proofErr w:type="spellStart"/>
      <w:r>
        <w:rPr>
          <w:sz w:val="17"/>
          <w:szCs w:val="17"/>
        </w:rPr>
        <w:t>Recline</w:t>
      </w:r>
      <w:proofErr w:type="spellEnd"/>
      <w:r>
        <w:rPr>
          <w:sz w:val="17"/>
          <w:szCs w:val="17"/>
        </w:rPr>
        <w:t xml:space="preserve"> Komfort Technologie zu entwickeln. Badende sollen die perfekte Haltung einnehmen und maximale Entspannung finden. Abbildung: TOTO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124994">
        <w:tc>
          <w:tcPr>
            <w:tcW w:w="2444" w:type="pct"/>
            <w:tcBorders>
              <w:top w:val="nil"/>
              <w:left w:val="nil"/>
              <w:bottom w:val="nil"/>
              <w:right w:val="nil"/>
            </w:tcBorders>
            <w:shd w:val="clear" w:color="auto" w:fill="auto"/>
            <w:tcMar>
              <w:top w:w="0" w:type="dxa"/>
              <w:left w:w="0" w:type="dxa"/>
              <w:bottom w:w="0" w:type="dxa"/>
              <w:right w:w="0" w:type="dxa"/>
            </w:tcMar>
          </w:tcPr>
          <w:p w:rsidR="00124994" w:rsidRDefault="00000000">
            <w:pPr>
              <w:keepNext/>
              <w:keepLines/>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rsidR="00124994" w:rsidRDefault="00124994">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24994" w:rsidRDefault="00000000">
            <w:pPr>
              <w:keepNext/>
              <w:keepLines/>
              <w:rPr>
                <w:sz w:val="14"/>
                <w:szCs w:val="14"/>
              </w:rPr>
            </w:pPr>
            <w:r>
              <w:rPr>
                <w:sz w:val="14"/>
                <w:szCs w:val="14"/>
              </w:rPr>
              <w:t>10.</w:t>
            </w:r>
          </w:p>
        </w:tc>
      </w:tr>
      <w:tr w:rsidR="00124994">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24994" w:rsidRDefault="00000000">
            <w:pPr>
              <w:keepNext/>
              <w:keepLines/>
              <w:rPr>
                <w:sz w:val="14"/>
                <w:szCs w:val="14"/>
              </w:rPr>
            </w:pPr>
            <w:r>
              <w:rPr>
                <w:noProof/>
                <w:sz w:val="14"/>
                <w:szCs w:val="14"/>
              </w:rPr>
              <w:drawing>
                <wp:inline distT="0" distB="0" distL="0" distR="0">
                  <wp:extent cx="3023235"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6"/>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24994" w:rsidRDefault="00124994">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24994" w:rsidRDefault="00000000">
            <w:pPr>
              <w:keepNext/>
              <w:keepLines/>
              <w:rPr>
                <w:sz w:val="14"/>
                <w:szCs w:val="14"/>
              </w:rPr>
            </w:pPr>
            <w:r>
              <w:rPr>
                <w:noProof/>
                <w:sz w:val="14"/>
                <w:szCs w:val="14"/>
              </w:rPr>
              <w:drawing>
                <wp:inline distT="0" distB="0" distL="0" distR="0">
                  <wp:extent cx="3023235" cy="171259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7"/>
                          <a:srcRect/>
                          <a:stretch>
                            <a:fillRect/>
                          </a:stretch>
                        </pic:blipFill>
                        <pic:spPr>
                          <a:xfrm>
                            <a:off x="0" y="0"/>
                            <a:ext cx="3023235" cy="1712595"/>
                          </a:xfrm>
                          <a:prstGeom prst="rect">
                            <a:avLst/>
                          </a:prstGeom>
                        </pic:spPr>
                      </pic:pic>
                    </a:graphicData>
                  </a:graphic>
                </wp:inline>
              </w:drawing>
            </w:r>
          </w:p>
        </w:tc>
      </w:tr>
      <w:tr w:rsidR="00124994">
        <w:tc>
          <w:tcPr>
            <w:tcW w:w="2444" w:type="pct"/>
            <w:tcBorders>
              <w:top w:val="nil"/>
              <w:left w:val="nil"/>
              <w:bottom w:val="nil"/>
              <w:right w:val="nil"/>
            </w:tcBorders>
            <w:shd w:val="clear" w:color="auto" w:fill="auto"/>
            <w:tcMar>
              <w:top w:w="0" w:type="dxa"/>
              <w:left w:w="0" w:type="dxa"/>
              <w:bottom w:w="0" w:type="dxa"/>
              <w:right w:w="0" w:type="dxa"/>
            </w:tcMar>
          </w:tcPr>
          <w:p w:rsidR="00124994" w:rsidRDefault="00124994">
            <w:pPr>
              <w:keepNext/>
              <w:keepLines/>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124994" w:rsidRDefault="00124994">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24994" w:rsidRDefault="00124994">
            <w:pPr>
              <w:keepNext/>
              <w:keepLines/>
              <w:rPr>
                <w:sz w:val="14"/>
                <w:szCs w:val="14"/>
              </w:rPr>
            </w:pPr>
          </w:p>
        </w:tc>
      </w:tr>
      <w:tr w:rsidR="00124994">
        <w:tc>
          <w:tcPr>
            <w:tcW w:w="2444" w:type="pct"/>
            <w:tcBorders>
              <w:top w:val="nil"/>
              <w:left w:val="nil"/>
              <w:bottom w:val="nil"/>
              <w:right w:val="nil"/>
            </w:tcBorders>
            <w:shd w:val="clear" w:color="auto" w:fill="auto"/>
            <w:tcMar>
              <w:top w:w="0" w:type="dxa"/>
              <w:left w:w="0" w:type="dxa"/>
              <w:bottom w:w="0" w:type="dxa"/>
              <w:right w:w="0" w:type="dxa"/>
            </w:tcMar>
          </w:tcPr>
          <w:p w:rsidR="00124994" w:rsidRDefault="00000000">
            <w:pPr>
              <w:keepNext/>
              <w:keepLines/>
              <w:rPr>
                <w:sz w:val="14"/>
                <w:szCs w:val="14"/>
              </w:rPr>
            </w:pPr>
            <w:r>
              <w:rPr>
                <w:sz w:val="14"/>
                <w:szCs w:val="14"/>
              </w:rPr>
              <w:t>11.</w:t>
            </w:r>
          </w:p>
        </w:tc>
        <w:tc>
          <w:tcPr>
            <w:tcW w:w="112" w:type="pct"/>
            <w:tcBorders>
              <w:top w:val="nil"/>
              <w:left w:val="nil"/>
              <w:bottom w:val="nil"/>
              <w:right w:val="nil"/>
            </w:tcBorders>
            <w:shd w:val="clear" w:color="auto" w:fill="auto"/>
            <w:tcMar>
              <w:top w:w="0" w:type="dxa"/>
              <w:left w:w="0" w:type="dxa"/>
              <w:bottom w:w="0" w:type="dxa"/>
              <w:right w:w="0" w:type="dxa"/>
            </w:tcMar>
          </w:tcPr>
          <w:p w:rsidR="00124994" w:rsidRDefault="00124994">
            <w:pPr>
              <w:keepNext/>
              <w:keepLines/>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124994" w:rsidRDefault="00000000">
            <w:pPr>
              <w:keepNext/>
              <w:keepLines/>
              <w:rPr>
                <w:sz w:val="14"/>
                <w:szCs w:val="14"/>
              </w:rPr>
            </w:pPr>
            <w:r>
              <w:rPr>
                <w:sz w:val="14"/>
                <w:szCs w:val="14"/>
              </w:rPr>
              <w:t>12.</w:t>
            </w:r>
          </w:p>
        </w:tc>
      </w:tr>
      <w:tr w:rsidR="00124994">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24994" w:rsidRDefault="00000000">
            <w:pPr>
              <w:keepNext/>
              <w:keepLines/>
              <w:rPr>
                <w:sz w:val="14"/>
                <w:szCs w:val="14"/>
              </w:rPr>
            </w:pPr>
            <w:r>
              <w:rPr>
                <w:noProof/>
                <w:sz w:val="14"/>
                <w:szCs w:val="14"/>
              </w:rPr>
              <w:drawing>
                <wp:inline distT="0" distB="0" distL="0" distR="0">
                  <wp:extent cx="3023235" cy="160591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8"/>
                          <a:srcRect/>
                          <a:stretch>
                            <a:fillRect/>
                          </a:stretch>
                        </pic:blipFill>
                        <pic:spPr>
                          <a:xfrm>
                            <a:off x="0" y="0"/>
                            <a:ext cx="3023235" cy="160591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124994" w:rsidRDefault="00124994">
            <w:pPr>
              <w:keepNext/>
              <w:keepLines/>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124994" w:rsidRDefault="00000000">
            <w:pPr>
              <w:keepNext/>
              <w:keepLines/>
              <w:rPr>
                <w:sz w:val="14"/>
                <w:szCs w:val="14"/>
              </w:rPr>
            </w:pPr>
            <w:r>
              <w:rPr>
                <w:noProof/>
                <w:sz w:val="14"/>
                <w:szCs w:val="14"/>
              </w:rPr>
              <w:drawing>
                <wp:inline distT="0" distB="0" distL="0" distR="0">
                  <wp:extent cx="3023235" cy="145034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19"/>
                          <a:srcRect/>
                          <a:stretch>
                            <a:fillRect/>
                          </a:stretch>
                        </pic:blipFill>
                        <pic:spPr>
                          <a:xfrm>
                            <a:off x="0" y="0"/>
                            <a:ext cx="3023235" cy="1450340"/>
                          </a:xfrm>
                          <a:prstGeom prst="rect">
                            <a:avLst/>
                          </a:prstGeom>
                        </pic:spPr>
                      </pic:pic>
                    </a:graphicData>
                  </a:graphic>
                </wp:inline>
              </w:drawing>
            </w:r>
          </w:p>
        </w:tc>
      </w:tr>
    </w:tbl>
    <w:p w:rsidR="00124994" w:rsidRDefault="00000000">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92"/>
        <w:gridCol w:w="3792"/>
        <w:gridCol w:w="2395"/>
      </w:tblGrid>
      <w:tr w:rsidR="00124994">
        <w:tc>
          <w:tcPr>
            <w:tcW w:w="3800" w:type="pct"/>
            <w:gridSpan w:val="2"/>
            <w:tcBorders>
              <w:top w:val="nil"/>
              <w:left w:val="nil"/>
              <w:bottom w:val="nil"/>
              <w:right w:val="nil"/>
            </w:tcBorders>
            <w:shd w:val="clear" w:color="auto" w:fill="auto"/>
            <w:tcMar>
              <w:top w:w="0" w:type="dxa"/>
              <w:left w:w="0" w:type="dxa"/>
              <w:bottom w:w="0" w:type="dxa"/>
              <w:right w:w="227" w:type="dxa"/>
            </w:tcMar>
          </w:tcPr>
          <w:p w:rsidR="00124994" w:rsidRDefault="00000000">
            <w:pPr>
              <w:spacing w:before="240" w:after="240"/>
              <w:rPr>
                <w:sz w:val="20"/>
                <w:szCs w:val="20"/>
              </w:rPr>
            </w:pPr>
            <w:r>
              <w:rPr>
                <w:b/>
                <w:sz w:val="20"/>
                <w:szCs w:val="20"/>
              </w:rPr>
              <w:lastRenderedPageBreak/>
              <w:t>Über TOTO Europe</w:t>
            </w:r>
          </w:p>
          <w:p w:rsidR="00124994" w:rsidRDefault="00000000">
            <w:pPr>
              <w:spacing w:before="240" w:after="240"/>
              <w:rPr>
                <w:sz w:val="20"/>
                <w:szCs w:val="20"/>
              </w:rPr>
            </w:pPr>
            <w:r>
              <w:rPr>
                <w:sz w:val="20"/>
                <w:szCs w:val="20"/>
              </w:rPr>
              <w:t xml:space="preserve">Bei TOTO, das zu den führenden internationalen Sanitärunternehmen zählt, steht der Mensch und sein Wohlbefinden im Mittelpunkt. Bereits 1917 in </w:t>
            </w:r>
            <w:proofErr w:type="spellStart"/>
            <w:r>
              <w:rPr>
                <w:sz w:val="20"/>
                <w:szCs w:val="20"/>
              </w:rPr>
              <w:t>Kitakyushu</w:t>
            </w:r>
            <w:proofErr w:type="spellEnd"/>
            <w:r>
              <w:rPr>
                <w:sz w:val="20"/>
                <w:szCs w:val="20"/>
              </w:rPr>
              <w:t xml:space="preserve">, Japan, gegründet, entwickelt, produziert und vertreibt TOTO seit 2009 seine ganzheitlichen Badezimmerkonzepte für gehobene Ansprüche auch in Europa. Das Ziel ist es, durch Regeneration, Komfort und Hygiene ein neues Lebensgefühl zu schaffen und die Technik intelligent und nahezu unsichtbar in das Design zu integrieren. Japans führender Hersteller präsentiert als Komplettbadanbieter Sanitärkeramik, Armaturen und Accessoires. Das Unternehmen kann mittlerweile auf über 40 Jahre Entwicklung und Herstellung von WASHLET zurückblicken und hat bisher weltweit über 60 Mio. Stück verkauft. Auf dem Weg zu einem nachhaltig ausgerichteten Unternehmen, das die Entwicklung hin zu einer vollständig emissionsfreien Gesellschaft unterstützt, zeigt TOTO ein hohes Engagement: Mit dem Beitritt zur Initiative RE100 bekennt sich die TOTO-Unternehmensgruppe dazu, an allen Standorten bis zum Jahr 2040 vollständig auf Strom aus erneuerbaren Energien umzustellen. Im Juni 2021 erfolgte die Zertifizierung der </w:t>
            </w:r>
            <w:hyperlink r:id="rId20">
              <w:r>
                <w:rPr>
                  <w:rStyle w:val="Hyperlink"/>
                  <w:color w:val="000000"/>
                  <w:sz w:val="20"/>
                  <w:szCs w:val="20"/>
                </w:rPr>
                <w:t xml:space="preserve">Science </w:t>
              </w:r>
              <w:proofErr w:type="spellStart"/>
              <w:r>
                <w:rPr>
                  <w:rStyle w:val="Hyperlink"/>
                  <w:color w:val="000000"/>
                  <w:sz w:val="20"/>
                  <w:szCs w:val="20"/>
                </w:rPr>
                <w:t>Based</w:t>
              </w:r>
              <w:proofErr w:type="spellEnd"/>
              <w:r>
                <w:rPr>
                  <w:rStyle w:val="Hyperlink"/>
                  <w:color w:val="000000"/>
                  <w:sz w:val="20"/>
                  <w:szCs w:val="20"/>
                </w:rPr>
                <w:t xml:space="preserve"> Targets </w:t>
              </w:r>
            </w:hyperlink>
            <w:r>
              <w:rPr>
                <w:sz w:val="20"/>
                <w:szCs w:val="20"/>
              </w:rPr>
              <w:t>Initiative (SBT), um die Reduzierung von Treibhausgasen im Einklang mit dem Pariser Abkommen zu erreichen und auf dieser Grundlage die CO</w:t>
            </w:r>
            <w:r>
              <w:rPr>
                <w:sz w:val="20"/>
                <w:szCs w:val="20"/>
                <w:vertAlign w:val="subscript"/>
              </w:rPr>
              <w:t>2</w:t>
            </w:r>
            <w:r>
              <w:rPr>
                <w:sz w:val="20"/>
                <w:szCs w:val="20"/>
              </w:rPr>
              <w:t>-Emissionen systematisch weiter zu reduzieren. Weltweit arbeiten mehr als 36000 Menschen bei TOTO.</w:t>
            </w:r>
          </w:p>
          <w:p w:rsidR="00124994" w:rsidRDefault="00000000">
            <w:pPr>
              <w:spacing w:before="240" w:after="240"/>
              <w:rPr>
                <w:sz w:val="20"/>
                <w:szCs w:val="20"/>
              </w:rPr>
            </w:pPr>
            <w:r>
              <w:rPr>
                <w:sz w:val="20"/>
                <w:szCs w:val="20"/>
              </w:rPr>
              <w:t xml:space="preserve">Mehr über TOTO: </w:t>
            </w:r>
            <w:hyperlink r:id="rId21" w:tgtFrame="_blank">
              <w:r>
                <w:rPr>
                  <w:rStyle w:val="Hyperlink"/>
                  <w:color w:val="000000"/>
                  <w:sz w:val="20"/>
                  <w:szCs w:val="20"/>
                </w:rPr>
                <w:t>eu.toto.com</w:t>
              </w:r>
            </w:hyperlink>
          </w:p>
          <w:p w:rsidR="00124994" w:rsidRDefault="00000000">
            <w:pPr>
              <w:rPr>
                <w:sz w:val="20"/>
                <w:szCs w:val="20"/>
              </w:rPr>
            </w:pPr>
            <w:r>
              <w:rPr>
                <w:sz w:val="20"/>
                <w:szCs w:val="20"/>
              </w:rPr>
              <w:br/>
            </w:r>
          </w:p>
        </w:tc>
        <w:tc>
          <w:tcPr>
            <w:tcW w:w="1200" w:type="pct"/>
            <w:tcBorders>
              <w:top w:val="nil"/>
              <w:left w:val="nil"/>
              <w:bottom w:val="nil"/>
              <w:right w:val="nil"/>
            </w:tcBorders>
            <w:shd w:val="clear" w:color="auto" w:fill="auto"/>
            <w:tcMar>
              <w:top w:w="0" w:type="dxa"/>
              <w:left w:w="0" w:type="dxa"/>
              <w:bottom w:w="0" w:type="dxa"/>
              <w:right w:w="227" w:type="dxa"/>
            </w:tcMar>
          </w:tcPr>
          <w:p w:rsidR="00124994" w:rsidRDefault="00000000">
            <w:pPr>
              <w:rPr>
                <w:sz w:val="20"/>
                <w:szCs w:val="20"/>
              </w:rPr>
            </w:pPr>
            <w:r>
              <w:rPr>
                <w:sz w:val="20"/>
                <w:szCs w:val="20"/>
              </w:rPr>
              <w:br/>
            </w:r>
          </w:p>
        </w:tc>
      </w:tr>
      <w:tr w:rsidR="00124994">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124994" w:rsidRDefault="00124994">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rsidR="00124994" w:rsidRDefault="00124994">
            <w:pPr>
              <w:rPr>
                <w:sz w:val="20"/>
                <w:szCs w:val="20"/>
              </w:rPr>
            </w:pPr>
          </w:p>
        </w:tc>
      </w:tr>
    </w:tbl>
    <w:p w:rsidR="00124994" w:rsidRDefault="00124994"/>
    <w:sectPr w:rsidR="00124994">
      <w:headerReference w:type="default" r:id="rId22"/>
      <w:footerReference w:type="default" r:id="rId23"/>
      <w:headerReference w:type="first" r:id="rId24"/>
      <w:footerReference w:type="first" r:id="rId25"/>
      <w:pgSz w:w="11906" w:h="16838"/>
      <w:pgMar w:top="1701" w:right="1020" w:bottom="1701"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E5ED0" w:rsidRDefault="00CE5ED0">
      <w:pPr>
        <w:spacing w:line="240" w:lineRule="auto"/>
      </w:pPr>
      <w:r>
        <w:separator/>
      </w:r>
    </w:p>
  </w:endnote>
  <w:endnote w:type="continuationSeparator" w:id="0">
    <w:p w:rsidR="00CE5ED0" w:rsidRDefault="00CE5E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124994">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124994" w:rsidRPr="00655F39">
            <w:trPr>
              <w:tblCellSpacing w:w="0" w:type="dxa"/>
            </w:trPr>
            <w:tc>
              <w:tcPr>
                <w:tcW w:w="15" w:type="dxa"/>
                <w:tcBorders>
                  <w:left w:val="single" w:sz="6" w:space="0" w:color="000000"/>
                </w:tcBorders>
                <w:shd w:val="clear" w:color="auto" w:fill="FFFFFF"/>
                <w:vAlign w:val="center"/>
                <w:hideMark/>
              </w:tcPr>
              <w:p w:rsidR="00124994"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124994" w:rsidRDefault="00000000">
                <w:pPr>
                  <w:rPr>
                    <w:sz w:val="10"/>
                    <w:szCs w:val="10"/>
                  </w:rPr>
                </w:pPr>
                <w:r>
                  <w:rPr>
                    <w:sz w:val="10"/>
                    <w:szCs w:val="10"/>
                  </w:rPr>
                  <w:t> </w:t>
                </w:r>
              </w:p>
            </w:tc>
            <w:tc>
              <w:tcPr>
                <w:tcW w:w="850" w:type="pct"/>
                <w:vAlign w:val="center"/>
                <w:hideMark/>
              </w:tcPr>
              <w:p w:rsidR="00124994" w:rsidRDefault="00000000">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rsidR="00124994"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124994" w:rsidRDefault="00000000">
                <w:pPr>
                  <w:rPr>
                    <w:sz w:val="10"/>
                    <w:szCs w:val="10"/>
                  </w:rPr>
                </w:pPr>
                <w:r>
                  <w:rPr>
                    <w:sz w:val="10"/>
                    <w:szCs w:val="10"/>
                  </w:rPr>
                  <w:t> </w:t>
                </w:r>
              </w:p>
            </w:tc>
            <w:tc>
              <w:tcPr>
                <w:tcW w:w="850" w:type="pct"/>
                <w:vAlign w:val="center"/>
                <w:hideMark/>
              </w:tcPr>
              <w:p w:rsidR="00124994" w:rsidRDefault="00000000">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rsidR="00124994"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124994" w:rsidRDefault="00000000">
                <w:pPr>
                  <w:rPr>
                    <w:sz w:val="10"/>
                    <w:szCs w:val="10"/>
                  </w:rPr>
                </w:pPr>
                <w:r>
                  <w:rPr>
                    <w:sz w:val="10"/>
                    <w:szCs w:val="10"/>
                  </w:rPr>
                  <w:t> </w:t>
                </w:r>
              </w:p>
            </w:tc>
            <w:tc>
              <w:tcPr>
                <w:tcW w:w="1150" w:type="pct"/>
                <w:vAlign w:val="center"/>
                <w:hideMark/>
              </w:tcPr>
              <w:p w:rsidR="00124994" w:rsidRDefault="00000000">
                <w:pPr>
                  <w:rPr>
                    <w:sz w:val="10"/>
                    <w:szCs w:val="10"/>
                  </w:rPr>
                </w:pPr>
                <w:r>
                  <w:rPr>
                    <w:sz w:val="10"/>
                    <w:szCs w:val="10"/>
                  </w:rPr>
                  <w:t>Commerzbank AG Essen</w:t>
                </w:r>
                <w:r>
                  <w:rPr>
                    <w:sz w:val="10"/>
                    <w:szCs w:val="10"/>
                  </w:rPr>
                  <w:br/>
                  <w:t xml:space="preserve">BLZ: 360 400 </w:t>
                </w:r>
                <w:proofErr w:type="gramStart"/>
                <w:r>
                  <w:rPr>
                    <w:sz w:val="10"/>
                    <w:szCs w:val="10"/>
                  </w:rPr>
                  <w:t>39 .</w:t>
                </w:r>
                <w:proofErr w:type="gramEnd"/>
                <w:r>
                  <w:rPr>
                    <w:sz w:val="10"/>
                    <w:szCs w:val="10"/>
                  </w:rPr>
                  <w:t xml:space="preserve"> KTO: 150 6211</w:t>
                </w:r>
                <w:r>
                  <w:rPr>
                    <w:sz w:val="10"/>
                    <w:szCs w:val="10"/>
                  </w:rPr>
                  <w:br/>
                  <w:t>IBAN: DE 32 36040039 0150621100</w:t>
                </w:r>
                <w:r>
                  <w:rPr>
                    <w:sz w:val="10"/>
                    <w:szCs w:val="10"/>
                  </w:rPr>
                  <w:br/>
                  <w:t>BIC: COBADEFF360</w:t>
                </w:r>
              </w:p>
            </w:tc>
            <w:tc>
              <w:tcPr>
                <w:tcW w:w="15" w:type="dxa"/>
                <w:tcBorders>
                  <w:left w:val="single" w:sz="6" w:space="0" w:color="000000"/>
                </w:tcBorders>
                <w:shd w:val="clear" w:color="auto" w:fill="FFFFFF"/>
                <w:vAlign w:val="center"/>
                <w:hideMark/>
              </w:tcPr>
              <w:p w:rsidR="00124994"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124994" w:rsidRDefault="00000000">
                <w:pPr>
                  <w:rPr>
                    <w:sz w:val="10"/>
                    <w:szCs w:val="10"/>
                  </w:rPr>
                </w:pPr>
                <w:r>
                  <w:rPr>
                    <w:sz w:val="10"/>
                    <w:szCs w:val="10"/>
                  </w:rPr>
                  <w:t> </w:t>
                </w:r>
              </w:p>
            </w:tc>
            <w:tc>
              <w:tcPr>
                <w:tcW w:w="1050" w:type="pct"/>
                <w:vAlign w:val="center"/>
                <w:hideMark/>
              </w:tcPr>
              <w:p w:rsidR="00124994" w:rsidRDefault="00000000">
                <w:pPr>
                  <w:rPr>
                    <w:sz w:val="10"/>
                    <w:szCs w:val="10"/>
                  </w:rPr>
                </w:pPr>
                <w:r>
                  <w:rPr>
                    <w:sz w:val="10"/>
                    <w:szCs w:val="10"/>
                  </w:rPr>
                  <w:t xml:space="preserve">AG </w:t>
                </w:r>
                <w:proofErr w:type="gramStart"/>
                <w:r>
                  <w:rPr>
                    <w:sz w:val="10"/>
                    <w:szCs w:val="10"/>
                  </w:rPr>
                  <w:t>Düsseldorf .</w:t>
                </w:r>
                <w:proofErr w:type="gramEnd"/>
                <w:r>
                  <w:rPr>
                    <w:sz w:val="10"/>
                    <w:szCs w:val="10"/>
                  </w:rPr>
                  <w:t xml:space="preserve"> HRB 24827</w:t>
                </w:r>
                <w:r>
                  <w:rPr>
                    <w:sz w:val="10"/>
                    <w:szCs w:val="10"/>
                  </w:rPr>
                  <w:br/>
                  <w:t xml:space="preserve">Managing </w:t>
                </w:r>
                <w:proofErr w:type="spellStart"/>
                <w:r>
                  <w:rPr>
                    <w:sz w:val="10"/>
                    <w:szCs w:val="10"/>
                  </w:rPr>
                  <w:t>Directors</w:t>
                </w:r>
                <w:proofErr w:type="spellEnd"/>
                <w:r>
                  <w:rPr>
                    <w:sz w:val="10"/>
                    <w:szCs w:val="10"/>
                  </w:rPr>
                  <w:t>:</w:t>
                </w:r>
                <w:r>
                  <w:rPr>
                    <w:sz w:val="10"/>
                    <w:szCs w:val="10"/>
                  </w:rPr>
                  <w:br/>
                </w:r>
                <w:proofErr w:type="spellStart"/>
                <w:r>
                  <w:rPr>
                    <w:sz w:val="10"/>
                    <w:szCs w:val="10"/>
                  </w:rPr>
                  <w:t>Shinya</w:t>
                </w:r>
                <w:proofErr w:type="spellEnd"/>
                <w:r>
                  <w:rPr>
                    <w:sz w:val="10"/>
                    <w:szCs w:val="10"/>
                  </w:rPr>
                  <w:t xml:space="preserve"> </w:t>
                </w:r>
                <w:proofErr w:type="spellStart"/>
                <w:r>
                  <w:rPr>
                    <w:sz w:val="10"/>
                    <w:szCs w:val="10"/>
                  </w:rPr>
                  <w:t>Tamura</w:t>
                </w:r>
                <w:proofErr w:type="spellEnd"/>
                <w:r>
                  <w:rPr>
                    <w:sz w:val="10"/>
                    <w:szCs w:val="10"/>
                  </w:rPr>
                  <w:t xml:space="preserve">, </w:t>
                </w:r>
                <w:proofErr w:type="spellStart"/>
                <w:r>
                  <w:rPr>
                    <w:sz w:val="10"/>
                    <w:szCs w:val="10"/>
                  </w:rPr>
                  <w:t>Tatsuhiko</w:t>
                </w:r>
                <w:proofErr w:type="spellEnd"/>
                <w:r>
                  <w:rPr>
                    <w:sz w:val="10"/>
                    <w:szCs w:val="10"/>
                  </w:rPr>
                  <w:t xml:space="preserve"> </w:t>
                </w:r>
                <w:proofErr w:type="spellStart"/>
                <w:r>
                  <w:rPr>
                    <w:sz w:val="10"/>
                    <w:szCs w:val="10"/>
                  </w:rPr>
                  <w:t>Yasaka</w:t>
                </w:r>
                <w:proofErr w:type="spellEnd"/>
                <w:r>
                  <w:rPr>
                    <w:sz w:val="10"/>
                    <w:szCs w:val="10"/>
                  </w:rPr>
                  <w:br/>
                  <w:t>  </w:t>
                </w:r>
              </w:p>
            </w:tc>
            <w:tc>
              <w:tcPr>
                <w:tcW w:w="15" w:type="dxa"/>
                <w:tcBorders>
                  <w:left w:val="single" w:sz="6" w:space="0" w:color="000000"/>
                </w:tcBorders>
                <w:shd w:val="clear" w:color="auto" w:fill="FFFFFF"/>
                <w:vAlign w:val="center"/>
                <w:hideMark/>
              </w:tcPr>
              <w:p w:rsidR="00124994"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124994" w:rsidRDefault="00000000">
                <w:pPr>
                  <w:rPr>
                    <w:sz w:val="10"/>
                    <w:szCs w:val="10"/>
                  </w:rPr>
                </w:pPr>
                <w:r>
                  <w:rPr>
                    <w:sz w:val="10"/>
                    <w:szCs w:val="10"/>
                  </w:rPr>
                  <w:t> </w:t>
                </w:r>
              </w:p>
            </w:tc>
            <w:tc>
              <w:tcPr>
                <w:tcW w:w="850" w:type="pct"/>
                <w:vAlign w:val="center"/>
                <w:hideMark/>
              </w:tcPr>
              <w:p w:rsidR="00124994" w:rsidRPr="008C7DE3" w:rsidRDefault="00000000">
                <w:pPr>
                  <w:rPr>
                    <w:sz w:val="10"/>
                    <w:szCs w:val="10"/>
                    <w:lang w:val="en-US"/>
                  </w:rPr>
                </w:pPr>
                <w:r w:rsidRPr="008C7DE3">
                  <w:rPr>
                    <w:sz w:val="10"/>
                    <w:szCs w:val="10"/>
                    <w:lang w:val="en-US"/>
                  </w:rPr>
                  <w:t>WEEE-Reg.-Nr. DE 88787165</w:t>
                </w:r>
                <w:r w:rsidRPr="008C7DE3">
                  <w:rPr>
                    <w:sz w:val="10"/>
                    <w:szCs w:val="10"/>
                    <w:lang w:val="en-US"/>
                  </w:rPr>
                  <w:br/>
                  <w:t>USTID-NR: DE258501442</w:t>
                </w:r>
                <w:r w:rsidRPr="008C7DE3">
                  <w:rPr>
                    <w:sz w:val="10"/>
                    <w:szCs w:val="10"/>
                    <w:lang w:val="en-US"/>
                  </w:rPr>
                  <w:br/>
                  <w:t>ST-NR: 106/5727/1323</w:t>
                </w:r>
                <w:r w:rsidRPr="008C7DE3">
                  <w:rPr>
                    <w:sz w:val="10"/>
                    <w:szCs w:val="10"/>
                    <w:lang w:val="en-US"/>
                  </w:rPr>
                  <w:br/>
                  <w:t>  </w:t>
                </w:r>
              </w:p>
            </w:tc>
            <w:tc>
              <w:tcPr>
                <w:tcW w:w="28" w:type="dxa"/>
                <w:vAlign w:val="center"/>
                <w:hideMark/>
              </w:tcPr>
              <w:p w:rsidR="00124994" w:rsidRPr="008C7DE3" w:rsidRDefault="00000000">
                <w:pPr>
                  <w:rPr>
                    <w:sz w:val="10"/>
                    <w:szCs w:val="10"/>
                    <w:lang w:val="en-US"/>
                  </w:rPr>
                </w:pPr>
                <w:r w:rsidRPr="008C7DE3">
                  <w:rPr>
                    <w:sz w:val="10"/>
                    <w:szCs w:val="10"/>
                    <w:lang w:val="en-US"/>
                  </w:rPr>
                  <w:t> </w:t>
                </w:r>
              </w:p>
            </w:tc>
          </w:tr>
        </w:tbl>
        <w:p w:rsidR="00124994" w:rsidRPr="008C7DE3" w:rsidRDefault="00124994">
          <w:pPr>
            <w:rPr>
              <w:sz w:val="10"/>
              <w:szCs w:val="10"/>
              <w:lang w:val="en-US"/>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124994" w:rsidRDefault="00000000">
          <w:pPr>
            <w:rPr>
              <w:sz w:val="10"/>
              <w:szCs w:val="10"/>
            </w:rPr>
          </w:pPr>
          <w:r>
            <w:rPr>
              <w:sz w:val="10"/>
              <w:szCs w:val="10"/>
            </w:rPr>
            <w:fldChar w:fldCharType="begin"/>
          </w:r>
          <w:r>
            <w:rPr>
              <w:sz w:val="10"/>
              <w:szCs w:val="10"/>
            </w:rPr>
            <w:instrText>PAGE \* ARABIC</w:instrText>
          </w:r>
          <w:r>
            <w:rPr>
              <w:sz w:val="10"/>
              <w:szCs w:val="10"/>
            </w:rPr>
            <w:fldChar w:fldCharType="separate"/>
          </w:r>
          <w:r>
            <w:rPr>
              <w:sz w:val="10"/>
              <w:szCs w:val="10"/>
            </w:rPr>
            <w:t>#</w:t>
          </w:r>
          <w:r>
            <w:rPr>
              <w:sz w:val="10"/>
              <w:szCs w:val="10"/>
            </w:rPr>
            <w:fldChar w:fldCharType="end"/>
          </w:r>
        </w:p>
      </w:tc>
    </w:tr>
  </w:tbl>
  <w:p w:rsidR="00124994" w:rsidRDefault="00124994">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124994" w:rsidRPr="00655F39">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Borders>
              <w:top w:val="nil"/>
              <w:left w:val="nil"/>
              <w:bottom w:val="nil"/>
              <w:right w:val="nil"/>
            </w:tblBorders>
            <w:tblCellMar>
              <w:left w:w="0" w:type="dxa"/>
              <w:right w:w="0" w:type="dxa"/>
            </w:tblCellMar>
            <w:tblLook w:val="04A0" w:firstRow="1" w:lastRow="0" w:firstColumn="1" w:lastColumn="0" w:noHBand="0" w:noVBand="1"/>
          </w:tblPr>
          <w:tblGrid>
            <w:gridCol w:w="35"/>
            <w:gridCol w:w="93"/>
            <w:gridCol w:w="1590"/>
            <w:gridCol w:w="35"/>
            <w:gridCol w:w="93"/>
            <w:gridCol w:w="1590"/>
            <w:gridCol w:w="35"/>
            <w:gridCol w:w="93"/>
            <w:gridCol w:w="2151"/>
            <w:gridCol w:w="35"/>
            <w:gridCol w:w="94"/>
            <w:gridCol w:w="1965"/>
            <w:gridCol w:w="35"/>
            <w:gridCol w:w="94"/>
            <w:gridCol w:w="1591"/>
            <w:gridCol w:w="20"/>
          </w:tblGrid>
          <w:tr w:rsidR="00124994" w:rsidRPr="00655F39">
            <w:trPr>
              <w:tblCellSpacing w:w="0" w:type="dxa"/>
            </w:trPr>
            <w:tc>
              <w:tcPr>
                <w:tcW w:w="15" w:type="dxa"/>
                <w:tcBorders>
                  <w:left w:val="single" w:sz="6" w:space="0" w:color="000000"/>
                </w:tcBorders>
                <w:shd w:val="clear" w:color="auto" w:fill="FFFFFF"/>
                <w:vAlign w:val="center"/>
                <w:hideMark/>
              </w:tcPr>
              <w:p w:rsidR="00124994"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124994" w:rsidRDefault="00000000">
                <w:pPr>
                  <w:rPr>
                    <w:sz w:val="10"/>
                    <w:szCs w:val="10"/>
                  </w:rPr>
                </w:pPr>
                <w:r>
                  <w:rPr>
                    <w:sz w:val="10"/>
                    <w:szCs w:val="10"/>
                  </w:rPr>
                  <w:t> </w:t>
                </w:r>
              </w:p>
            </w:tc>
            <w:tc>
              <w:tcPr>
                <w:tcW w:w="850" w:type="pct"/>
                <w:vAlign w:val="center"/>
                <w:hideMark/>
              </w:tcPr>
              <w:p w:rsidR="00124994" w:rsidRDefault="00000000">
                <w:pPr>
                  <w:rPr>
                    <w:sz w:val="10"/>
                    <w:szCs w:val="10"/>
                  </w:rPr>
                </w:pPr>
                <w:r>
                  <w:rPr>
                    <w:b/>
                    <w:sz w:val="10"/>
                    <w:szCs w:val="10"/>
                  </w:rPr>
                  <w:t>TOTO Europe GmbH</w:t>
                </w:r>
                <w:r>
                  <w:rPr>
                    <w:b/>
                    <w:sz w:val="10"/>
                    <w:szCs w:val="10"/>
                  </w:rPr>
                  <w:br/>
                </w:r>
                <w:r>
                  <w:rPr>
                    <w:sz w:val="10"/>
                    <w:szCs w:val="10"/>
                  </w:rPr>
                  <w:t>Zollhof 2</w:t>
                </w:r>
                <w:r>
                  <w:rPr>
                    <w:sz w:val="10"/>
                    <w:szCs w:val="10"/>
                  </w:rPr>
                  <w:br/>
                  <w:t>40221 Düsseldorf</w:t>
                </w:r>
                <w:r>
                  <w:rPr>
                    <w:sz w:val="10"/>
                    <w:szCs w:val="10"/>
                  </w:rPr>
                  <w:br/>
                  <w:t>Germany</w:t>
                </w:r>
              </w:p>
            </w:tc>
            <w:tc>
              <w:tcPr>
                <w:tcW w:w="15" w:type="dxa"/>
                <w:tcBorders>
                  <w:left w:val="single" w:sz="6" w:space="0" w:color="000000"/>
                </w:tcBorders>
                <w:shd w:val="clear" w:color="auto" w:fill="FFFFFF"/>
                <w:vAlign w:val="center"/>
                <w:hideMark/>
              </w:tcPr>
              <w:p w:rsidR="00124994"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124994" w:rsidRDefault="00000000">
                <w:pPr>
                  <w:rPr>
                    <w:sz w:val="10"/>
                    <w:szCs w:val="10"/>
                  </w:rPr>
                </w:pPr>
                <w:r>
                  <w:rPr>
                    <w:sz w:val="10"/>
                    <w:szCs w:val="10"/>
                  </w:rPr>
                  <w:t> </w:t>
                </w:r>
              </w:p>
            </w:tc>
            <w:tc>
              <w:tcPr>
                <w:tcW w:w="850" w:type="pct"/>
                <w:vAlign w:val="center"/>
                <w:hideMark/>
              </w:tcPr>
              <w:p w:rsidR="00124994" w:rsidRDefault="00000000">
                <w:pPr>
                  <w:rPr>
                    <w:sz w:val="10"/>
                    <w:szCs w:val="10"/>
                  </w:rPr>
                </w:pPr>
                <w:r>
                  <w:rPr>
                    <w:sz w:val="10"/>
                    <w:szCs w:val="10"/>
                  </w:rPr>
                  <w:t>T +49 (0)211 2 73 08-200</w:t>
                </w:r>
                <w:r>
                  <w:rPr>
                    <w:sz w:val="10"/>
                    <w:szCs w:val="10"/>
                  </w:rPr>
                  <w:br/>
                  <w:t>F +49 (0)211 2 73 08-202</w:t>
                </w:r>
                <w:r>
                  <w:rPr>
                    <w:sz w:val="10"/>
                    <w:szCs w:val="10"/>
                  </w:rPr>
                  <w:br/>
                  <w:t>teu.info@toto.com</w:t>
                </w:r>
                <w:r>
                  <w:rPr>
                    <w:sz w:val="10"/>
                    <w:szCs w:val="10"/>
                  </w:rPr>
                  <w:br/>
                  <w:t>eu.toto.com</w:t>
                </w:r>
              </w:p>
            </w:tc>
            <w:tc>
              <w:tcPr>
                <w:tcW w:w="15" w:type="dxa"/>
                <w:tcBorders>
                  <w:left w:val="single" w:sz="6" w:space="0" w:color="000000"/>
                </w:tcBorders>
                <w:shd w:val="clear" w:color="auto" w:fill="FFFFFF"/>
                <w:vAlign w:val="center"/>
                <w:hideMark/>
              </w:tcPr>
              <w:p w:rsidR="00124994"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124994" w:rsidRDefault="00000000">
                <w:pPr>
                  <w:rPr>
                    <w:sz w:val="10"/>
                    <w:szCs w:val="10"/>
                  </w:rPr>
                </w:pPr>
                <w:r>
                  <w:rPr>
                    <w:sz w:val="10"/>
                    <w:szCs w:val="10"/>
                  </w:rPr>
                  <w:t> </w:t>
                </w:r>
              </w:p>
            </w:tc>
            <w:tc>
              <w:tcPr>
                <w:tcW w:w="1150" w:type="pct"/>
                <w:vAlign w:val="center"/>
                <w:hideMark/>
              </w:tcPr>
              <w:p w:rsidR="00124994" w:rsidRDefault="00000000">
                <w:pPr>
                  <w:rPr>
                    <w:sz w:val="10"/>
                    <w:szCs w:val="10"/>
                  </w:rPr>
                </w:pPr>
                <w:r>
                  <w:rPr>
                    <w:sz w:val="10"/>
                    <w:szCs w:val="10"/>
                  </w:rPr>
                  <w:t>Commerzbank AG Essen</w:t>
                </w:r>
                <w:r>
                  <w:rPr>
                    <w:sz w:val="10"/>
                    <w:szCs w:val="10"/>
                  </w:rPr>
                  <w:br/>
                  <w:t xml:space="preserve">BLZ: 360 400 </w:t>
                </w:r>
                <w:proofErr w:type="gramStart"/>
                <w:r>
                  <w:rPr>
                    <w:sz w:val="10"/>
                    <w:szCs w:val="10"/>
                  </w:rPr>
                  <w:t>39 .</w:t>
                </w:r>
                <w:proofErr w:type="gramEnd"/>
                <w:r>
                  <w:rPr>
                    <w:sz w:val="10"/>
                    <w:szCs w:val="10"/>
                  </w:rPr>
                  <w:t xml:space="preserve"> KTO: 150 6211</w:t>
                </w:r>
                <w:r>
                  <w:rPr>
                    <w:sz w:val="10"/>
                    <w:szCs w:val="10"/>
                  </w:rPr>
                  <w:br/>
                  <w:t>IBAN: DE 32 36040039 0150621100</w:t>
                </w:r>
                <w:r>
                  <w:rPr>
                    <w:sz w:val="10"/>
                    <w:szCs w:val="10"/>
                  </w:rPr>
                  <w:br/>
                  <w:t>BIC: COBADEFF360</w:t>
                </w:r>
              </w:p>
            </w:tc>
            <w:tc>
              <w:tcPr>
                <w:tcW w:w="15" w:type="dxa"/>
                <w:tcBorders>
                  <w:left w:val="single" w:sz="6" w:space="0" w:color="000000"/>
                </w:tcBorders>
                <w:shd w:val="clear" w:color="auto" w:fill="FFFFFF"/>
                <w:vAlign w:val="center"/>
                <w:hideMark/>
              </w:tcPr>
              <w:p w:rsidR="00124994"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124994" w:rsidRDefault="00000000">
                <w:pPr>
                  <w:rPr>
                    <w:sz w:val="10"/>
                    <w:szCs w:val="10"/>
                  </w:rPr>
                </w:pPr>
                <w:r>
                  <w:rPr>
                    <w:sz w:val="10"/>
                    <w:szCs w:val="10"/>
                  </w:rPr>
                  <w:t> </w:t>
                </w:r>
              </w:p>
            </w:tc>
            <w:tc>
              <w:tcPr>
                <w:tcW w:w="1050" w:type="pct"/>
                <w:vAlign w:val="center"/>
                <w:hideMark/>
              </w:tcPr>
              <w:p w:rsidR="00124994" w:rsidRDefault="00000000">
                <w:pPr>
                  <w:rPr>
                    <w:sz w:val="10"/>
                    <w:szCs w:val="10"/>
                  </w:rPr>
                </w:pPr>
                <w:r>
                  <w:rPr>
                    <w:sz w:val="10"/>
                    <w:szCs w:val="10"/>
                  </w:rPr>
                  <w:t xml:space="preserve">AG </w:t>
                </w:r>
                <w:proofErr w:type="gramStart"/>
                <w:r>
                  <w:rPr>
                    <w:sz w:val="10"/>
                    <w:szCs w:val="10"/>
                  </w:rPr>
                  <w:t>Düsseldorf .</w:t>
                </w:r>
                <w:proofErr w:type="gramEnd"/>
                <w:r>
                  <w:rPr>
                    <w:sz w:val="10"/>
                    <w:szCs w:val="10"/>
                  </w:rPr>
                  <w:t xml:space="preserve"> HRB 24827</w:t>
                </w:r>
                <w:r>
                  <w:rPr>
                    <w:sz w:val="10"/>
                    <w:szCs w:val="10"/>
                  </w:rPr>
                  <w:br/>
                  <w:t xml:space="preserve">Managing </w:t>
                </w:r>
                <w:proofErr w:type="spellStart"/>
                <w:r>
                  <w:rPr>
                    <w:sz w:val="10"/>
                    <w:szCs w:val="10"/>
                  </w:rPr>
                  <w:t>Directors</w:t>
                </w:r>
                <w:proofErr w:type="spellEnd"/>
                <w:r>
                  <w:rPr>
                    <w:sz w:val="10"/>
                    <w:szCs w:val="10"/>
                  </w:rPr>
                  <w:t>:</w:t>
                </w:r>
                <w:r>
                  <w:rPr>
                    <w:sz w:val="10"/>
                    <w:szCs w:val="10"/>
                  </w:rPr>
                  <w:br/>
                </w:r>
                <w:proofErr w:type="spellStart"/>
                <w:r>
                  <w:rPr>
                    <w:sz w:val="10"/>
                    <w:szCs w:val="10"/>
                  </w:rPr>
                  <w:t>Shinya</w:t>
                </w:r>
                <w:proofErr w:type="spellEnd"/>
                <w:r>
                  <w:rPr>
                    <w:sz w:val="10"/>
                    <w:szCs w:val="10"/>
                  </w:rPr>
                  <w:t xml:space="preserve"> </w:t>
                </w:r>
                <w:proofErr w:type="spellStart"/>
                <w:r>
                  <w:rPr>
                    <w:sz w:val="10"/>
                    <w:szCs w:val="10"/>
                  </w:rPr>
                  <w:t>Tamura</w:t>
                </w:r>
                <w:proofErr w:type="spellEnd"/>
                <w:r>
                  <w:rPr>
                    <w:sz w:val="10"/>
                    <w:szCs w:val="10"/>
                  </w:rPr>
                  <w:t xml:space="preserve">, </w:t>
                </w:r>
                <w:proofErr w:type="spellStart"/>
                <w:r>
                  <w:rPr>
                    <w:sz w:val="10"/>
                    <w:szCs w:val="10"/>
                  </w:rPr>
                  <w:t>Tatsuhiko</w:t>
                </w:r>
                <w:proofErr w:type="spellEnd"/>
                <w:r>
                  <w:rPr>
                    <w:sz w:val="10"/>
                    <w:szCs w:val="10"/>
                  </w:rPr>
                  <w:t xml:space="preserve"> </w:t>
                </w:r>
                <w:proofErr w:type="spellStart"/>
                <w:r>
                  <w:rPr>
                    <w:sz w:val="10"/>
                    <w:szCs w:val="10"/>
                  </w:rPr>
                  <w:t>Yasaka</w:t>
                </w:r>
                <w:proofErr w:type="spellEnd"/>
              </w:p>
            </w:tc>
            <w:tc>
              <w:tcPr>
                <w:tcW w:w="15" w:type="dxa"/>
                <w:tcBorders>
                  <w:left w:val="single" w:sz="6" w:space="0" w:color="000000"/>
                </w:tcBorders>
                <w:shd w:val="clear" w:color="auto" w:fill="FFFFFF"/>
                <w:vAlign w:val="center"/>
                <w:hideMark/>
              </w:tcPr>
              <w:p w:rsidR="00124994" w:rsidRDefault="00000000">
                <w:pPr>
                  <w:shd w:val="clear" w:color="auto" w:fill="FFFFFF"/>
                  <w:rPr>
                    <w:sz w:val="10"/>
                    <w:szCs w:val="10"/>
                    <w:shd w:val="clear" w:color="auto" w:fill="FFFFFF"/>
                  </w:rPr>
                </w:pPr>
                <w:r>
                  <w:rPr>
                    <w:sz w:val="10"/>
                    <w:szCs w:val="10"/>
                    <w:shd w:val="clear" w:color="auto" w:fill="FFFFFF"/>
                  </w:rPr>
                  <w:t> </w:t>
                </w:r>
              </w:p>
            </w:tc>
            <w:tc>
              <w:tcPr>
                <w:tcW w:w="50" w:type="pct"/>
                <w:vAlign w:val="center"/>
                <w:hideMark/>
              </w:tcPr>
              <w:p w:rsidR="00124994" w:rsidRDefault="00000000">
                <w:pPr>
                  <w:rPr>
                    <w:sz w:val="10"/>
                    <w:szCs w:val="10"/>
                  </w:rPr>
                </w:pPr>
                <w:r>
                  <w:rPr>
                    <w:sz w:val="10"/>
                    <w:szCs w:val="10"/>
                  </w:rPr>
                  <w:t> </w:t>
                </w:r>
              </w:p>
            </w:tc>
            <w:tc>
              <w:tcPr>
                <w:tcW w:w="850" w:type="pct"/>
                <w:vAlign w:val="center"/>
                <w:hideMark/>
              </w:tcPr>
              <w:p w:rsidR="00124994" w:rsidRPr="008C7DE3" w:rsidRDefault="00000000">
                <w:pPr>
                  <w:rPr>
                    <w:sz w:val="10"/>
                    <w:szCs w:val="10"/>
                    <w:lang w:val="en-US"/>
                  </w:rPr>
                </w:pPr>
                <w:r w:rsidRPr="008C7DE3">
                  <w:rPr>
                    <w:sz w:val="10"/>
                    <w:szCs w:val="10"/>
                    <w:lang w:val="en-US"/>
                  </w:rPr>
                  <w:t>WEEE-Reg.-Nr. DE 88787165</w:t>
                </w:r>
                <w:r w:rsidRPr="008C7DE3">
                  <w:rPr>
                    <w:sz w:val="10"/>
                    <w:szCs w:val="10"/>
                    <w:lang w:val="en-US"/>
                  </w:rPr>
                  <w:br/>
                  <w:t>USTID-NR: DE258501442</w:t>
                </w:r>
                <w:r w:rsidRPr="008C7DE3">
                  <w:rPr>
                    <w:sz w:val="10"/>
                    <w:szCs w:val="10"/>
                    <w:lang w:val="en-US"/>
                  </w:rPr>
                  <w:br/>
                  <w:t>ST-NR: 106/5727/1323</w:t>
                </w:r>
                <w:r w:rsidRPr="008C7DE3">
                  <w:rPr>
                    <w:sz w:val="10"/>
                    <w:szCs w:val="10"/>
                    <w:lang w:val="en-US"/>
                  </w:rPr>
                  <w:br/>
                  <w:t>  </w:t>
                </w:r>
              </w:p>
            </w:tc>
            <w:tc>
              <w:tcPr>
                <w:tcW w:w="28" w:type="dxa"/>
                <w:vAlign w:val="center"/>
                <w:hideMark/>
              </w:tcPr>
              <w:p w:rsidR="00124994" w:rsidRPr="008C7DE3" w:rsidRDefault="00000000">
                <w:pPr>
                  <w:rPr>
                    <w:sz w:val="10"/>
                    <w:szCs w:val="10"/>
                    <w:lang w:val="en-US"/>
                  </w:rPr>
                </w:pPr>
                <w:r w:rsidRPr="008C7DE3">
                  <w:rPr>
                    <w:sz w:val="10"/>
                    <w:szCs w:val="10"/>
                    <w:lang w:val="en-US"/>
                  </w:rPr>
                  <w:t> </w:t>
                </w:r>
              </w:p>
            </w:tc>
          </w:tr>
        </w:tbl>
        <w:p w:rsidR="00124994" w:rsidRPr="008C7DE3" w:rsidRDefault="00124994">
          <w:pPr>
            <w:rPr>
              <w:sz w:val="10"/>
              <w:szCs w:val="10"/>
              <w:lang w:val="en-US"/>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124994" w:rsidRPr="008C7DE3" w:rsidRDefault="00124994">
          <w:pPr>
            <w:rPr>
              <w:sz w:val="10"/>
              <w:szCs w:val="10"/>
              <w:lang w:val="en-US"/>
            </w:rPr>
          </w:pPr>
        </w:p>
      </w:tc>
    </w:tr>
  </w:tbl>
  <w:p w:rsidR="00124994" w:rsidRPr="008C7DE3" w:rsidRDefault="00124994">
    <w:pPr>
      <w:rPr>
        <w:sz w:val="2"/>
        <w:szCs w:val="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E5ED0" w:rsidRDefault="00CE5ED0">
      <w:pPr>
        <w:spacing w:line="240" w:lineRule="auto"/>
      </w:pPr>
      <w:r>
        <w:separator/>
      </w:r>
    </w:p>
  </w:footnote>
  <w:footnote w:type="continuationSeparator" w:id="0">
    <w:p w:rsidR="00CE5ED0" w:rsidRDefault="00CE5E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4994" w:rsidRDefault="00000000">
    <w:r>
      <w:rPr>
        <w:noProof/>
      </w:rPr>
      <w:drawing>
        <wp:anchor distT="0" distB="0" distL="114300" distR="114300" simplePos="0" relativeHeight="251659264" behindDoc="0" locked="0" layoutInCell="0" allowOverlap="0">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sz w:val="24"/>
        <w:szCs w:val="24"/>
      </w:rPr>
      <w:t>Press 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4994" w:rsidRDefault="00000000">
    <w:pPr>
      <w:rPr>
        <w:color w:val="343434"/>
      </w:rPr>
    </w:pPr>
    <w:r>
      <w:rPr>
        <w:noProof/>
        <w:color w:val="343434"/>
      </w:rPr>
      <w:drawing>
        <wp:anchor distT="0" distB="0" distL="114300" distR="114300" simplePos="0" relativeHeight="251658240" behindDoc="0" locked="0" layoutInCell="0" allowOverlap="0">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368425" cy="318135"/>
                  </a:xfrm>
                  <a:prstGeom prst="rect">
                    <a:avLst/>
                  </a:prstGeom>
                </pic:spPr>
              </pic:pic>
            </a:graphicData>
          </a:graphic>
        </wp:anchor>
      </w:drawing>
    </w:r>
    <w:r>
      <w:rPr>
        <w:rFonts w:eastAsia="Arial"/>
        <w:b/>
        <w:color w:val="343434"/>
        <w:sz w:val="24"/>
        <w:szCs w:val="24"/>
      </w:rPr>
      <w:t>Press 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24994"/>
    <w:rsid w:val="00124994"/>
    <w:rsid w:val="002C6D73"/>
    <w:rsid w:val="00582EA6"/>
    <w:rsid w:val="00655F39"/>
    <w:rsid w:val="008C7DE3"/>
    <w:rsid w:val="00CE5E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7979AC2C"/>
  <w15:docId w15:val="{ABDA69EA-E3C2-0A48-98B5-DF9A09641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pressrelease.bering-kopal.de/cms/de.toto.com" TargetMode="External"/><Relationship Id="rId7" Type="http://schemas.openxmlformats.org/officeDocument/2006/relationships/hyperlink" Target="https://eu.toto.com/de" TargetMode="Externa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hyperlink" Target="https://sciencebasedtargets.org/about-us"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1152</Words>
  <Characters>7264</Characters>
  <Application>Microsoft Office Word</Application>
  <DocSecurity>0</DocSecurity>
  <Lines>60</Lines>
  <Paragraphs>16</Paragraphs>
  <ScaleCrop>false</ScaleCrop>
  <Company/>
  <LinksUpToDate>false</LinksUpToDate>
  <CharactersWithSpaces>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Bettina Wassermann</cp:lastModifiedBy>
  <cp:revision>3</cp:revision>
  <dcterms:created xsi:type="dcterms:W3CDTF">2024-06-27T07:31:00Z</dcterms:created>
  <dcterms:modified xsi:type="dcterms:W3CDTF">2024-06-27T07:47:00Z</dcterms:modified>
</cp:coreProperties>
</file>